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712941" w14:textId="3ED8A7FC" w:rsidR="00DA5F6C" w:rsidRPr="007E3D13" w:rsidRDefault="00D4642E" w:rsidP="007E3D13">
      <w:pPr>
        <w:widowControl w:val="0"/>
        <w:tabs>
          <w:tab w:val="left" w:pos="0"/>
          <w:tab w:val="num" w:pos="567"/>
          <w:tab w:val="left" w:pos="1080"/>
          <w:tab w:val="left" w:pos="1680"/>
          <w:tab w:val="left" w:pos="2280"/>
          <w:tab w:val="left" w:pos="5520"/>
          <w:tab w:val="left" w:pos="5880"/>
          <w:tab w:val="left" w:pos="7800"/>
          <w:tab w:val="left" w:pos="7920"/>
        </w:tabs>
        <w:spacing w:line="276" w:lineRule="auto"/>
        <w:ind w:left="567" w:hanging="567"/>
        <w:jc w:val="center"/>
        <w:outlineLvl w:val="0"/>
        <w:rPr>
          <w:rFonts w:cs="Arial"/>
          <w:b/>
          <w:color w:val="000000"/>
          <w:kern w:val="28"/>
          <w:lang w:val="en-GB" w:eastAsia="en-US"/>
        </w:rPr>
      </w:pPr>
      <w:bookmarkStart w:id="0" w:name="_Toc303764023"/>
      <w:bookmarkStart w:id="1" w:name="_Toc306205447"/>
      <w:r>
        <w:rPr>
          <w:rFonts w:cs="Arial"/>
          <w:b/>
          <w:color w:val="000000"/>
          <w:kern w:val="28"/>
          <w:lang w:val="en-GB" w:eastAsia="en-US"/>
        </w:rPr>
        <w:t xml:space="preserve">GUIDELINE FOR </w:t>
      </w:r>
      <w:r w:rsidR="00C1203F">
        <w:rPr>
          <w:rFonts w:cs="Arial"/>
          <w:b/>
          <w:color w:val="000000"/>
          <w:kern w:val="28"/>
          <w:lang w:val="en-GB" w:eastAsia="en-US"/>
        </w:rPr>
        <w:t xml:space="preserve">THE </w:t>
      </w:r>
      <w:r w:rsidR="00EF7F28" w:rsidRPr="007E3D13">
        <w:rPr>
          <w:rFonts w:cs="Arial"/>
          <w:b/>
          <w:color w:val="000000"/>
          <w:kern w:val="28"/>
          <w:lang w:val="en-GB" w:eastAsia="en-US"/>
        </w:rPr>
        <w:t xml:space="preserve">TECHNICAL </w:t>
      </w:r>
      <w:r w:rsidRPr="007E3D13">
        <w:rPr>
          <w:rFonts w:cs="Arial"/>
          <w:b/>
          <w:color w:val="000000"/>
          <w:kern w:val="28"/>
          <w:lang w:val="en-GB" w:eastAsia="en-US"/>
        </w:rPr>
        <w:t xml:space="preserve">EVALUATION </w:t>
      </w:r>
      <w:r w:rsidR="00C1203F">
        <w:rPr>
          <w:rFonts w:cs="Arial"/>
          <w:b/>
          <w:color w:val="000000"/>
          <w:kern w:val="28"/>
          <w:lang w:val="en-GB" w:eastAsia="en-US"/>
        </w:rPr>
        <w:t xml:space="preserve">IN RESPECT OF </w:t>
      </w:r>
      <w:bookmarkEnd w:id="0"/>
      <w:bookmarkEnd w:id="1"/>
      <w:r w:rsidR="00F14F1D">
        <w:rPr>
          <w:rFonts w:cs="Arial"/>
          <w:b/>
          <w:color w:val="000000"/>
          <w:kern w:val="28"/>
          <w:lang w:val="en-GB" w:eastAsia="en-US"/>
        </w:rPr>
        <w:t xml:space="preserve">NATIONAL GUARDING </w:t>
      </w:r>
      <w:r w:rsidR="0058485A">
        <w:rPr>
          <w:rFonts w:cs="Arial"/>
          <w:b/>
          <w:color w:val="000000"/>
          <w:kern w:val="28"/>
          <w:lang w:val="en-GB" w:eastAsia="en-US"/>
        </w:rPr>
        <w:t>SERVICE</w:t>
      </w:r>
      <w:r>
        <w:rPr>
          <w:rFonts w:cs="Arial"/>
          <w:b/>
          <w:color w:val="000000"/>
          <w:kern w:val="28"/>
          <w:lang w:val="en-GB" w:eastAsia="en-US"/>
        </w:rPr>
        <w:t>S</w:t>
      </w:r>
    </w:p>
    <w:p w14:paraId="5A48818C" w14:textId="77777777" w:rsidR="00DA5F6C" w:rsidRPr="00BF1AC9" w:rsidRDefault="00DA5F6C" w:rsidP="00283187">
      <w:pPr>
        <w:widowControl w:val="0"/>
        <w:tabs>
          <w:tab w:val="left" w:pos="0"/>
          <w:tab w:val="num" w:pos="567"/>
          <w:tab w:val="left" w:pos="1080"/>
          <w:tab w:val="left" w:pos="1680"/>
          <w:tab w:val="left" w:pos="2280"/>
          <w:tab w:val="left" w:pos="5520"/>
          <w:tab w:val="left" w:pos="5880"/>
          <w:tab w:val="left" w:pos="7800"/>
          <w:tab w:val="left" w:pos="7920"/>
        </w:tabs>
        <w:spacing w:line="276" w:lineRule="auto"/>
        <w:ind w:left="567" w:hanging="567"/>
        <w:outlineLvl w:val="0"/>
        <w:rPr>
          <w:rFonts w:cs="Arial"/>
          <w:lang w:val="en-GB" w:eastAsia="en-US"/>
        </w:rPr>
      </w:pPr>
      <w:r w:rsidRPr="00283187">
        <w:rPr>
          <w:rFonts w:cs="Arial"/>
          <w:b/>
          <w:i/>
          <w:color w:val="000000"/>
          <w:kern w:val="28"/>
          <w:lang w:val="en-GB" w:eastAsia="en-US"/>
        </w:rPr>
        <w:tab/>
      </w:r>
    </w:p>
    <w:tbl>
      <w:tblPr>
        <w:tblW w:w="14266" w:type="dxa"/>
        <w:tblInd w:w="-318" w:type="dxa"/>
        <w:tblLook w:val="04A0" w:firstRow="1" w:lastRow="0" w:firstColumn="1" w:lastColumn="0" w:noHBand="0" w:noVBand="1"/>
      </w:tblPr>
      <w:tblGrid>
        <w:gridCol w:w="1023"/>
        <w:gridCol w:w="5670"/>
        <w:gridCol w:w="1559"/>
        <w:gridCol w:w="2222"/>
        <w:gridCol w:w="1896"/>
        <w:gridCol w:w="1896"/>
      </w:tblGrid>
      <w:tr w:rsidR="00B52E64" w:rsidRPr="007E3D13" w14:paraId="5E79DD82" w14:textId="77777777" w:rsidTr="00AD7C35">
        <w:trPr>
          <w:trHeight w:val="376"/>
        </w:trPr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48DD4"/>
            <w:noWrap/>
            <w:vAlign w:val="center"/>
            <w:hideMark/>
          </w:tcPr>
          <w:p w14:paraId="2A9EB705" w14:textId="77777777" w:rsidR="00B52E64" w:rsidRPr="007E3D13" w:rsidRDefault="00B52E64" w:rsidP="007E3D13">
            <w:pPr>
              <w:widowControl w:val="0"/>
              <w:spacing w:line="276" w:lineRule="auto"/>
              <w:jc w:val="center"/>
              <w:rPr>
                <w:rFonts w:cs="Arial"/>
                <w:b/>
                <w:bCs/>
              </w:rPr>
            </w:pPr>
            <w:r w:rsidRPr="007E3D13">
              <w:rPr>
                <w:rFonts w:cs="Arial"/>
                <w:b/>
                <w:bCs/>
              </w:rPr>
              <w:t>No.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548DD4"/>
            <w:noWrap/>
            <w:vAlign w:val="center"/>
            <w:hideMark/>
          </w:tcPr>
          <w:p w14:paraId="25E00885" w14:textId="77777777" w:rsidR="00B52E64" w:rsidRPr="007E3D13" w:rsidRDefault="00B52E64" w:rsidP="007E3D13">
            <w:pPr>
              <w:widowControl w:val="0"/>
              <w:spacing w:line="276" w:lineRule="auto"/>
              <w:jc w:val="center"/>
              <w:rPr>
                <w:rFonts w:cs="Arial"/>
                <w:b/>
                <w:bCs/>
              </w:rPr>
            </w:pPr>
            <w:r w:rsidRPr="007E3D13">
              <w:rPr>
                <w:rFonts w:cs="Arial"/>
                <w:b/>
                <w:bCs/>
              </w:rPr>
              <w:t>Description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548DD4"/>
            <w:noWrap/>
            <w:vAlign w:val="center"/>
            <w:hideMark/>
          </w:tcPr>
          <w:p w14:paraId="1EB397A8" w14:textId="77777777" w:rsidR="00B52E64" w:rsidRPr="002C1051" w:rsidRDefault="00B52E64" w:rsidP="004E5E67">
            <w:pPr>
              <w:widowControl w:val="0"/>
              <w:spacing w:line="276" w:lineRule="auto"/>
              <w:jc w:val="center"/>
              <w:rPr>
                <w:rFonts w:cs="Arial"/>
                <w:b/>
                <w:bCs/>
              </w:rPr>
            </w:pPr>
            <w:r w:rsidRPr="002C1051">
              <w:rPr>
                <w:rFonts w:cs="Arial"/>
                <w:b/>
                <w:bCs/>
              </w:rPr>
              <w:t>Weight</w:t>
            </w:r>
          </w:p>
        </w:tc>
        <w:tc>
          <w:tcPr>
            <w:tcW w:w="2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548DD4"/>
            <w:vAlign w:val="center"/>
          </w:tcPr>
          <w:p w14:paraId="6ACDCA7E" w14:textId="77777777" w:rsidR="00B52E64" w:rsidRPr="007E3D13" w:rsidRDefault="00B52E64" w:rsidP="00283187">
            <w:pPr>
              <w:widowControl w:val="0"/>
              <w:spacing w:line="276" w:lineRule="auto"/>
              <w:jc w:val="both"/>
              <w:rPr>
                <w:rFonts w:cs="Arial"/>
                <w:b/>
                <w:bCs/>
              </w:rPr>
            </w:pPr>
            <w:r w:rsidRPr="007E3D13">
              <w:rPr>
                <w:rFonts w:cs="Arial"/>
                <w:b/>
                <w:bCs/>
              </w:rPr>
              <w:t xml:space="preserve">Measurement </w:t>
            </w:r>
          </w:p>
        </w:tc>
        <w:tc>
          <w:tcPr>
            <w:tcW w:w="1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548DD4"/>
            <w:vAlign w:val="center"/>
          </w:tcPr>
          <w:p w14:paraId="73DE2208" w14:textId="77777777" w:rsidR="00B52E64" w:rsidRPr="007E3D13" w:rsidRDefault="00B52E64" w:rsidP="004E5E67">
            <w:pPr>
              <w:widowControl w:val="0"/>
              <w:spacing w:line="276" w:lineRule="auto"/>
              <w:jc w:val="center"/>
              <w:rPr>
                <w:rFonts w:cs="Arial"/>
                <w:b/>
                <w:bCs/>
              </w:rPr>
            </w:pPr>
            <w:r w:rsidRPr="007E3D13">
              <w:rPr>
                <w:rFonts w:cs="Arial"/>
                <w:b/>
                <w:bCs/>
              </w:rPr>
              <w:t>Point Allocation</w:t>
            </w:r>
          </w:p>
        </w:tc>
        <w:tc>
          <w:tcPr>
            <w:tcW w:w="1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548DD4"/>
            <w:vAlign w:val="center"/>
          </w:tcPr>
          <w:p w14:paraId="2BCC7A3A" w14:textId="77777777" w:rsidR="00B52E64" w:rsidRPr="007E3D13" w:rsidRDefault="00B52E64" w:rsidP="00AD7C35">
            <w:pPr>
              <w:widowControl w:val="0"/>
              <w:spacing w:line="276" w:lineRule="auto"/>
              <w:jc w:val="both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Proof required</w:t>
            </w:r>
          </w:p>
        </w:tc>
      </w:tr>
      <w:tr w:rsidR="00B52E64" w:rsidRPr="007E3D13" w14:paraId="415F04CB" w14:textId="77777777" w:rsidTr="00AD7C35">
        <w:trPr>
          <w:trHeight w:val="301"/>
        </w:trPr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hideMark/>
          </w:tcPr>
          <w:p w14:paraId="0433A749" w14:textId="77777777" w:rsidR="00B52E64" w:rsidRPr="007E3D13" w:rsidRDefault="00B52E64" w:rsidP="007E3D13">
            <w:pPr>
              <w:widowControl w:val="0"/>
              <w:spacing w:line="276" w:lineRule="auto"/>
              <w:jc w:val="center"/>
              <w:rPr>
                <w:rFonts w:cs="Arial"/>
                <w:b/>
                <w:bCs/>
                <w:color w:val="000000"/>
              </w:rPr>
            </w:pPr>
            <w:r w:rsidRPr="007E3D13">
              <w:rPr>
                <w:rFonts w:cs="Arial"/>
                <w:b/>
                <w:bCs/>
                <w:color w:val="000000"/>
              </w:rPr>
              <w:t>1.0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4CA553F1" w14:textId="77777777" w:rsidR="00B52E64" w:rsidRPr="007E3D13" w:rsidRDefault="00B52E64" w:rsidP="007E3D13">
            <w:pPr>
              <w:widowControl w:val="0"/>
              <w:spacing w:line="276" w:lineRule="auto"/>
              <w:jc w:val="both"/>
              <w:rPr>
                <w:rFonts w:cs="Arial"/>
                <w:b/>
                <w:bCs/>
                <w:color w:val="000000"/>
              </w:rPr>
            </w:pPr>
            <w:r w:rsidRPr="007E3D13">
              <w:rPr>
                <w:rFonts w:cs="Arial"/>
                <w:b/>
                <w:bCs/>
                <w:color w:val="000000"/>
              </w:rPr>
              <w:t>Experience in providing the Services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  <w:hideMark/>
          </w:tcPr>
          <w:p w14:paraId="7D9215C5" w14:textId="77777777" w:rsidR="00B52E64" w:rsidRPr="002C1051" w:rsidRDefault="00B52E64" w:rsidP="004E5E67">
            <w:pPr>
              <w:widowControl w:val="0"/>
              <w:spacing w:line="276" w:lineRule="auto"/>
              <w:jc w:val="center"/>
              <w:rPr>
                <w:rFonts w:cs="Arial"/>
                <w:b/>
                <w:bCs/>
                <w:color w:val="000000"/>
              </w:rPr>
            </w:pPr>
            <w:r w:rsidRPr="002C1051">
              <w:rPr>
                <w:rFonts w:cs="Arial"/>
                <w:b/>
                <w:bCs/>
                <w:color w:val="000000"/>
              </w:rPr>
              <w:t>10</w:t>
            </w:r>
          </w:p>
        </w:tc>
        <w:tc>
          <w:tcPr>
            <w:tcW w:w="2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85A22DF" w14:textId="77777777" w:rsidR="00B52E64" w:rsidRPr="007E3D13" w:rsidRDefault="00B52E64" w:rsidP="006C475A">
            <w:pPr>
              <w:widowControl w:val="0"/>
              <w:spacing w:line="276" w:lineRule="auto"/>
              <w:jc w:val="both"/>
              <w:rPr>
                <w:rFonts w:cs="Arial"/>
                <w:b/>
                <w:bCs/>
                <w:color w:val="00000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4F8AC09" w14:textId="77777777" w:rsidR="00B52E64" w:rsidRPr="007E3D13" w:rsidRDefault="00B52E64" w:rsidP="004A41E9">
            <w:pPr>
              <w:widowControl w:val="0"/>
              <w:spacing w:line="276" w:lineRule="auto"/>
              <w:jc w:val="center"/>
              <w:rPr>
                <w:rFonts w:cs="Arial"/>
                <w:b/>
                <w:bCs/>
                <w:color w:val="00000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2ECCC1B" w14:textId="77777777" w:rsidR="00B52E64" w:rsidRPr="007E3D13" w:rsidRDefault="00B52E64" w:rsidP="00AD7C35">
            <w:pPr>
              <w:widowControl w:val="0"/>
              <w:spacing w:line="276" w:lineRule="auto"/>
              <w:jc w:val="both"/>
              <w:rPr>
                <w:rFonts w:cs="Arial"/>
                <w:b/>
                <w:bCs/>
                <w:color w:val="000000"/>
              </w:rPr>
            </w:pPr>
          </w:p>
        </w:tc>
      </w:tr>
      <w:tr w:rsidR="001575CF" w:rsidRPr="007E3D13" w14:paraId="2442FEDB" w14:textId="77777777" w:rsidTr="00AD7C35">
        <w:trPr>
          <w:trHeight w:val="425"/>
        </w:trPr>
        <w:tc>
          <w:tcPr>
            <w:tcW w:w="10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547C98B" w14:textId="77777777" w:rsidR="001575CF" w:rsidRPr="00A970B2" w:rsidRDefault="001575CF" w:rsidP="007E3D13">
            <w:pPr>
              <w:widowControl w:val="0"/>
              <w:spacing w:line="276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A970B2">
              <w:rPr>
                <w:rFonts w:cs="Arial"/>
                <w:color w:val="000000"/>
                <w:sz w:val="18"/>
                <w:szCs w:val="18"/>
              </w:rPr>
              <w:t>1.1</w:t>
            </w:r>
          </w:p>
        </w:tc>
        <w:tc>
          <w:tcPr>
            <w:tcW w:w="567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BC59E" w14:textId="56D54162" w:rsidR="001575CF" w:rsidRPr="00A970B2" w:rsidRDefault="00A93A16" w:rsidP="000242B0">
            <w:pPr>
              <w:widowControl w:val="0"/>
              <w:spacing w:line="276" w:lineRule="auto"/>
              <w:jc w:val="both"/>
              <w:rPr>
                <w:rFonts w:cs="Arial"/>
                <w:b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 xml:space="preserve">The Bidder must </w:t>
            </w:r>
            <w:r w:rsidRPr="00A970B2">
              <w:rPr>
                <w:rFonts w:cs="Arial"/>
                <w:color w:val="000000"/>
                <w:sz w:val="18"/>
                <w:szCs w:val="18"/>
              </w:rPr>
              <w:t>provide</w:t>
            </w:r>
            <w:r w:rsidR="001575CF" w:rsidRPr="00A970B2">
              <w:rPr>
                <w:rFonts w:cs="Arial"/>
                <w:color w:val="000000"/>
                <w:sz w:val="18"/>
                <w:szCs w:val="18"/>
              </w:rPr>
              <w:t xml:space="preserve"> three (3)</w:t>
            </w:r>
            <w:r w:rsidR="001575CF" w:rsidRPr="002C1051"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 w:rsidR="001575CF" w:rsidRPr="00AD7C35">
              <w:rPr>
                <w:rFonts w:cs="Arial"/>
                <w:color w:val="000000"/>
                <w:sz w:val="18"/>
                <w:szCs w:val="18"/>
              </w:rPr>
              <w:t>references</w:t>
            </w:r>
            <w:r w:rsidR="001575CF" w:rsidRPr="00A970B2">
              <w:rPr>
                <w:rFonts w:cs="Arial"/>
                <w:color w:val="000000"/>
                <w:sz w:val="18"/>
                <w:szCs w:val="18"/>
              </w:rPr>
              <w:t xml:space="preserve"> from business organisations (entities) that have used the Bidder to provide 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guarding </w:t>
            </w:r>
            <w:r w:rsidRPr="00A970B2">
              <w:rPr>
                <w:rFonts w:cs="Arial"/>
                <w:color w:val="000000"/>
                <w:kern w:val="28"/>
                <w:sz w:val="18"/>
                <w:szCs w:val="18"/>
                <w:lang w:val="en-GB" w:eastAsia="en-US"/>
              </w:rPr>
              <w:t>security service</w:t>
            </w:r>
            <w:r>
              <w:rPr>
                <w:rFonts w:cs="Arial"/>
                <w:color w:val="000000"/>
                <w:kern w:val="28"/>
                <w:sz w:val="18"/>
                <w:szCs w:val="18"/>
                <w:lang w:val="en-GB" w:eastAsia="en-US"/>
              </w:rPr>
              <w:t>s</w:t>
            </w:r>
            <w:r w:rsidR="001575CF" w:rsidRPr="00A970B2">
              <w:rPr>
                <w:rFonts w:cs="Arial"/>
                <w:color w:val="000000"/>
                <w:kern w:val="28"/>
                <w:sz w:val="18"/>
                <w:szCs w:val="18"/>
                <w:lang w:val="en-GB" w:eastAsia="en-US"/>
              </w:rPr>
              <w:t xml:space="preserve"> </w:t>
            </w:r>
            <w:r w:rsidR="001575CF" w:rsidRPr="00A970B2">
              <w:rPr>
                <w:rFonts w:cs="Arial"/>
                <w:color w:val="000000"/>
                <w:sz w:val="18"/>
                <w:szCs w:val="18"/>
              </w:rPr>
              <w:t xml:space="preserve">in the past three (3) years. </w:t>
            </w:r>
          </w:p>
        </w:tc>
        <w:tc>
          <w:tcPr>
            <w:tcW w:w="1559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A91C70" w14:textId="77777777" w:rsidR="001575CF" w:rsidRPr="00AD7C35" w:rsidRDefault="001575CF" w:rsidP="004E5E67">
            <w:pPr>
              <w:widowControl w:val="0"/>
              <w:spacing w:line="276" w:lineRule="auto"/>
              <w:jc w:val="center"/>
              <w:rPr>
                <w:rFonts w:cs="Arial"/>
                <w:b/>
                <w:color w:val="000000"/>
                <w:sz w:val="18"/>
                <w:szCs w:val="18"/>
              </w:rPr>
            </w:pPr>
            <w:r w:rsidRPr="00AD7C35">
              <w:rPr>
                <w:rFonts w:cs="Arial"/>
                <w:b/>
                <w:color w:val="000000"/>
                <w:sz w:val="18"/>
                <w:szCs w:val="18"/>
              </w:rPr>
              <w:t>3</w:t>
            </w:r>
          </w:p>
        </w:tc>
        <w:tc>
          <w:tcPr>
            <w:tcW w:w="2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B4A696" w14:textId="05702A22" w:rsidR="001575CF" w:rsidRPr="00A970B2" w:rsidRDefault="001575CF" w:rsidP="007D38C3">
            <w:pPr>
              <w:widowControl w:val="0"/>
              <w:spacing w:line="276" w:lineRule="auto"/>
              <w:jc w:val="both"/>
              <w:rPr>
                <w:rFonts w:cs="Arial"/>
                <w:color w:val="000000"/>
                <w:sz w:val="18"/>
                <w:szCs w:val="18"/>
              </w:rPr>
            </w:pPr>
            <w:r w:rsidRPr="00A970B2">
              <w:rPr>
                <w:rFonts w:cs="Arial"/>
                <w:color w:val="000000"/>
                <w:sz w:val="18"/>
                <w:szCs w:val="18"/>
              </w:rPr>
              <w:t>Less than 3</w:t>
            </w:r>
            <w:r w:rsidR="00A93A16">
              <w:rPr>
                <w:rFonts w:cs="Arial"/>
                <w:color w:val="000000"/>
                <w:sz w:val="18"/>
                <w:szCs w:val="18"/>
              </w:rPr>
              <w:t xml:space="preserve"> references</w:t>
            </w:r>
            <w:r w:rsidRPr="00A970B2"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67C7A5" w14:textId="77777777" w:rsidR="001575CF" w:rsidRPr="00A970B2" w:rsidRDefault="001575CF" w:rsidP="00AD7C35">
            <w:pPr>
              <w:widowControl w:val="0"/>
              <w:spacing w:line="276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A970B2">
              <w:rPr>
                <w:rFonts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1896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14:paraId="2888D43D" w14:textId="0065A50E" w:rsidR="001575CF" w:rsidRPr="00A970B2" w:rsidRDefault="00B52E64" w:rsidP="008A6AE6">
            <w:pPr>
              <w:widowControl w:val="0"/>
              <w:spacing w:line="276" w:lineRule="auto"/>
              <w:jc w:val="both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Three (</w:t>
            </w:r>
            <w:r w:rsidR="001575CF" w:rsidRPr="001575CF">
              <w:rPr>
                <w:rFonts w:cs="Arial"/>
                <w:color w:val="000000"/>
                <w:sz w:val="18"/>
                <w:szCs w:val="18"/>
              </w:rPr>
              <w:t>3</w:t>
            </w:r>
            <w:r>
              <w:rPr>
                <w:rFonts w:cs="Arial"/>
                <w:color w:val="000000"/>
                <w:sz w:val="18"/>
                <w:szCs w:val="18"/>
              </w:rPr>
              <w:t>)</w:t>
            </w:r>
            <w:r w:rsidR="001575CF" w:rsidRPr="001575CF">
              <w:rPr>
                <w:rFonts w:cs="Arial"/>
                <w:color w:val="000000"/>
                <w:sz w:val="18"/>
                <w:szCs w:val="18"/>
              </w:rPr>
              <w:t xml:space="preserve"> references from business organisation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s that have used the Bidder’s services in the past three (3) years that set out </w:t>
            </w:r>
            <w:r w:rsidR="001575CF" w:rsidRPr="001575CF">
              <w:rPr>
                <w:rFonts w:cs="Arial"/>
                <w:color w:val="000000"/>
                <w:sz w:val="18"/>
                <w:szCs w:val="18"/>
              </w:rPr>
              <w:t xml:space="preserve">the value of the contract per </w:t>
            </w:r>
            <w:r>
              <w:rPr>
                <w:rFonts w:cs="Arial"/>
                <w:color w:val="000000"/>
                <w:sz w:val="18"/>
                <w:szCs w:val="18"/>
              </w:rPr>
              <w:t>year, the</w:t>
            </w:r>
            <w:r w:rsidR="008A6AE6"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 w:rsidRPr="001575CF">
              <w:rPr>
                <w:rFonts w:cs="Arial"/>
                <w:color w:val="000000"/>
                <w:sz w:val="18"/>
                <w:szCs w:val="18"/>
              </w:rPr>
              <w:t>number</w:t>
            </w:r>
            <w:r w:rsidR="001575CF" w:rsidRPr="001575CF">
              <w:rPr>
                <w:rFonts w:cs="Arial"/>
                <w:color w:val="000000"/>
                <w:sz w:val="18"/>
                <w:szCs w:val="18"/>
              </w:rPr>
              <w:t xml:space="preserve"> of personnel employed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to render the services</w:t>
            </w:r>
            <w:r w:rsidR="001575CF" w:rsidRPr="001575CF">
              <w:rPr>
                <w:rFonts w:cs="Arial"/>
                <w:color w:val="000000"/>
                <w:sz w:val="18"/>
                <w:szCs w:val="18"/>
              </w:rPr>
              <w:t xml:space="preserve"> in each contract and 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the </w:t>
            </w:r>
            <w:r w:rsidRPr="001575CF">
              <w:rPr>
                <w:rFonts w:cs="Arial"/>
                <w:color w:val="000000"/>
                <w:sz w:val="18"/>
                <w:szCs w:val="18"/>
              </w:rPr>
              <w:t>duration</w:t>
            </w:r>
            <w:r w:rsidR="001575CF" w:rsidRPr="001575CF">
              <w:rPr>
                <w:rFonts w:cs="Arial"/>
                <w:color w:val="000000"/>
                <w:sz w:val="18"/>
                <w:szCs w:val="18"/>
              </w:rPr>
              <w:t xml:space="preserve"> of the contract</w:t>
            </w:r>
            <w:r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</w:tr>
      <w:tr w:rsidR="001575CF" w:rsidRPr="007E3D13" w14:paraId="3232C4DA" w14:textId="77777777" w:rsidTr="00AD7C35">
        <w:trPr>
          <w:trHeight w:val="425"/>
        </w:trPr>
        <w:tc>
          <w:tcPr>
            <w:tcW w:w="10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37D11B" w14:textId="77777777" w:rsidR="001575CF" w:rsidRPr="00A970B2" w:rsidRDefault="001575CF" w:rsidP="007E3D13">
            <w:pPr>
              <w:widowControl w:val="0"/>
              <w:spacing w:line="276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67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5DBF78" w14:textId="77777777" w:rsidR="001575CF" w:rsidRPr="00A970B2" w:rsidRDefault="001575CF" w:rsidP="007E3D13">
            <w:pPr>
              <w:widowControl w:val="0"/>
              <w:numPr>
                <w:ilvl w:val="0"/>
                <w:numId w:val="2"/>
              </w:numPr>
              <w:spacing w:line="276" w:lineRule="auto"/>
              <w:ind w:left="462" w:hanging="462"/>
              <w:jc w:val="both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871D17" w14:textId="77777777" w:rsidR="001575CF" w:rsidRPr="008A6AE6" w:rsidRDefault="001575CF">
            <w:pPr>
              <w:widowControl w:val="0"/>
              <w:spacing w:line="276" w:lineRule="auto"/>
              <w:jc w:val="center"/>
              <w:rPr>
                <w:rFonts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2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739B33" w14:textId="597BC1C2" w:rsidR="001575CF" w:rsidRPr="00A970B2" w:rsidRDefault="001575CF">
            <w:pPr>
              <w:widowControl w:val="0"/>
              <w:spacing w:line="276" w:lineRule="auto"/>
              <w:jc w:val="both"/>
              <w:rPr>
                <w:rFonts w:cs="Arial"/>
                <w:color w:val="000000"/>
                <w:sz w:val="18"/>
                <w:szCs w:val="18"/>
              </w:rPr>
            </w:pPr>
            <w:r w:rsidRPr="00A970B2">
              <w:rPr>
                <w:rFonts w:cs="Arial"/>
                <w:color w:val="000000"/>
                <w:sz w:val="18"/>
                <w:szCs w:val="18"/>
              </w:rPr>
              <w:t xml:space="preserve">3 </w:t>
            </w:r>
            <w:r w:rsidR="00A93A16">
              <w:rPr>
                <w:rFonts w:cs="Arial"/>
                <w:color w:val="000000"/>
                <w:sz w:val="18"/>
                <w:szCs w:val="18"/>
              </w:rPr>
              <w:t>or</w:t>
            </w:r>
            <w:r w:rsidR="00A93A16" w:rsidRPr="00A970B2"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 w:rsidRPr="00A970B2">
              <w:rPr>
                <w:rFonts w:cs="Arial"/>
                <w:color w:val="000000"/>
                <w:sz w:val="18"/>
                <w:szCs w:val="18"/>
              </w:rPr>
              <w:t>more</w:t>
            </w:r>
            <w:r w:rsidR="00A93A16">
              <w:rPr>
                <w:rFonts w:cs="Arial"/>
                <w:color w:val="000000"/>
                <w:sz w:val="18"/>
                <w:szCs w:val="18"/>
              </w:rPr>
              <w:t xml:space="preserve"> references</w:t>
            </w:r>
            <w:r w:rsidRPr="00A970B2"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15D4F0" w14:textId="77777777" w:rsidR="001575CF" w:rsidRPr="00A970B2" w:rsidRDefault="001575CF" w:rsidP="00AD7C35">
            <w:pPr>
              <w:widowControl w:val="0"/>
              <w:spacing w:line="276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1896" w:type="dxa"/>
            <w:vMerge/>
            <w:tcBorders>
              <w:left w:val="nil"/>
              <w:right w:val="single" w:sz="4" w:space="0" w:color="auto"/>
            </w:tcBorders>
          </w:tcPr>
          <w:p w14:paraId="0096BF3A" w14:textId="77777777" w:rsidR="001575CF" w:rsidRDefault="001575CF" w:rsidP="008A6AE6">
            <w:pPr>
              <w:widowControl w:val="0"/>
              <w:spacing w:line="276" w:lineRule="auto"/>
              <w:jc w:val="both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1575CF" w:rsidRPr="007E3D13" w14:paraId="341BF87C" w14:textId="77777777" w:rsidTr="00AD7C35">
        <w:trPr>
          <w:trHeight w:val="425"/>
        </w:trPr>
        <w:tc>
          <w:tcPr>
            <w:tcW w:w="10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0B69C30" w14:textId="77777777" w:rsidR="001575CF" w:rsidRPr="00A970B2" w:rsidRDefault="001575CF" w:rsidP="007E3D13">
            <w:pPr>
              <w:widowControl w:val="0"/>
              <w:spacing w:line="276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1.2</w:t>
            </w:r>
          </w:p>
        </w:tc>
        <w:tc>
          <w:tcPr>
            <w:tcW w:w="567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5892BD3B" w14:textId="489BED2F" w:rsidR="001575CF" w:rsidRPr="00A970B2" w:rsidRDefault="001575CF" w:rsidP="00A508F8">
            <w:pPr>
              <w:widowControl w:val="0"/>
              <w:spacing w:line="276" w:lineRule="auto"/>
              <w:jc w:val="both"/>
              <w:rPr>
                <w:rFonts w:cs="Arial"/>
                <w:color w:val="000000"/>
                <w:sz w:val="18"/>
                <w:szCs w:val="18"/>
              </w:rPr>
            </w:pPr>
            <w:r w:rsidRPr="00A970B2">
              <w:rPr>
                <w:rFonts w:cs="Arial"/>
                <w:color w:val="000000"/>
                <w:sz w:val="18"/>
                <w:szCs w:val="18"/>
              </w:rPr>
              <w:t xml:space="preserve">The </w:t>
            </w:r>
            <w:r w:rsidRPr="00AD7C35">
              <w:rPr>
                <w:rFonts w:cs="Arial"/>
                <w:color w:val="000000"/>
                <w:sz w:val="18"/>
                <w:szCs w:val="18"/>
              </w:rPr>
              <w:t>value(s)</w:t>
            </w:r>
            <w:r w:rsidRPr="00A970B2">
              <w:rPr>
                <w:rFonts w:cs="Arial"/>
                <w:color w:val="000000"/>
                <w:sz w:val="18"/>
                <w:szCs w:val="18"/>
              </w:rPr>
              <w:t xml:space="preserve"> of the contract(s) </w:t>
            </w:r>
            <w:r w:rsidRPr="00A508F8">
              <w:rPr>
                <w:rFonts w:cs="Arial"/>
                <w:sz w:val="18"/>
                <w:szCs w:val="18"/>
              </w:rPr>
              <w:t xml:space="preserve">per </w:t>
            </w:r>
            <w:r w:rsidR="00A508F8" w:rsidRPr="00A508F8">
              <w:rPr>
                <w:rFonts w:cs="Arial"/>
                <w:sz w:val="18"/>
                <w:szCs w:val="18"/>
              </w:rPr>
              <w:t>year</w:t>
            </w:r>
            <w:r w:rsidR="00D4642E">
              <w:rPr>
                <w:rFonts w:cs="Arial"/>
                <w:sz w:val="18"/>
                <w:szCs w:val="18"/>
              </w:rPr>
              <w:t>.</w:t>
            </w:r>
          </w:p>
        </w:tc>
        <w:tc>
          <w:tcPr>
            <w:tcW w:w="1559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727639" w14:textId="77777777" w:rsidR="001575CF" w:rsidRPr="00AD7C35" w:rsidRDefault="001575CF" w:rsidP="004E5E67">
            <w:pPr>
              <w:widowControl w:val="0"/>
              <w:spacing w:line="276" w:lineRule="auto"/>
              <w:jc w:val="center"/>
              <w:rPr>
                <w:rFonts w:cs="Arial"/>
                <w:b/>
                <w:color w:val="000000"/>
                <w:sz w:val="18"/>
                <w:szCs w:val="18"/>
              </w:rPr>
            </w:pPr>
            <w:r w:rsidRPr="00AD7C35">
              <w:rPr>
                <w:rFonts w:cs="Arial"/>
                <w:b/>
                <w:color w:val="000000"/>
                <w:sz w:val="18"/>
                <w:szCs w:val="18"/>
              </w:rPr>
              <w:t>3</w:t>
            </w:r>
          </w:p>
        </w:tc>
        <w:tc>
          <w:tcPr>
            <w:tcW w:w="2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2E30DE" w14:textId="77777777" w:rsidR="001575CF" w:rsidRPr="00A508F8" w:rsidRDefault="001575CF" w:rsidP="002A046A">
            <w:pPr>
              <w:widowControl w:val="0"/>
              <w:spacing w:line="276" w:lineRule="auto"/>
              <w:jc w:val="both"/>
              <w:rPr>
                <w:rFonts w:cs="Arial"/>
                <w:sz w:val="18"/>
                <w:szCs w:val="18"/>
              </w:rPr>
            </w:pPr>
            <w:r w:rsidRPr="00A508F8">
              <w:rPr>
                <w:rFonts w:cs="Arial"/>
                <w:sz w:val="18"/>
                <w:szCs w:val="18"/>
              </w:rPr>
              <w:t>Less than R11 million.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15650E" w14:textId="77777777" w:rsidR="001575CF" w:rsidRPr="00A970B2" w:rsidRDefault="001575CF" w:rsidP="00AD7C35">
            <w:pPr>
              <w:widowControl w:val="0"/>
              <w:spacing w:line="276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A970B2">
              <w:rPr>
                <w:rFonts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1896" w:type="dxa"/>
            <w:vMerge/>
            <w:tcBorders>
              <w:left w:val="nil"/>
              <w:right w:val="single" w:sz="4" w:space="0" w:color="auto"/>
            </w:tcBorders>
          </w:tcPr>
          <w:p w14:paraId="7CD28A99" w14:textId="77777777" w:rsidR="001575CF" w:rsidRPr="00A970B2" w:rsidRDefault="001575CF" w:rsidP="008A6AE6">
            <w:pPr>
              <w:widowControl w:val="0"/>
              <w:spacing w:line="276" w:lineRule="auto"/>
              <w:jc w:val="both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1575CF" w:rsidRPr="007E3D13" w14:paraId="2E916CCF" w14:textId="77777777" w:rsidTr="00AD7C35">
        <w:trPr>
          <w:trHeight w:val="425"/>
        </w:trPr>
        <w:tc>
          <w:tcPr>
            <w:tcW w:w="10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186BEA" w14:textId="77777777" w:rsidR="001575CF" w:rsidRPr="00A970B2" w:rsidRDefault="001575CF" w:rsidP="007E3D13">
            <w:pPr>
              <w:widowControl w:val="0"/>
              <w:spacing w:line="276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67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F0B2B2" w14:textId="77777777" w:rsidR="001575CF" w:rsidRPr="00A970B2" w:rsidRDefault="001575CF" w:rsidP="007E3D13">
            <w:pPr>
              <w:widowControl w:val="0"/>
              <w:numPr>
                <w:ilvl w:val="0"/>
                <w:numId w:val="2"/>
              </w:numPr>
              <w:spacing w:line="276" w:lineRule="auto"/>
              <w:ind w:left="462" w:hanging="462"/>
              <w:jc w:val="both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042377" w14:textId="77777777" w:rsidR="001575CF" w:rsidRPr="008A6AE6" w:rsidRDefault="001575CF">
            <w:pPr>
              <w:widowControl w:val="0"/>
              <w:spacing w:line="276" w:lineRule="auto"/>
              <w:jc w:val="center"/>
              <w:rPr>
                <w:rFonts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2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D16D0A" w14:textId="77777777" w:rsidR="001575CF" w:rsidRPr="00A508F8" w:rsidRDefault="001575CF" w:rsidP="007D38C3">
            <w:pPr>
              <w:widowControl w:val="0"/>
              <w:spacing w:line="276" w:lineRule="auto"/>
              <w:jc w:val="both"/>
              <w:rPr>
                <w:rFonts w:cs="Arial"/>
                <w:sz w:val="18"/>
                <w:szCs w:val="18"/>
              </w:rPr>
            </w:pPr>
            <w:r w:rsidRPr="00A508F8">
              <w:rPr>
                <w:rFonts w:cs="Arial"/>
                <w:sz w:val="18"/>
                <w:szCs w:val="18"/>
              </w:rPr>
              <w:t>R11 million and above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50E630" w14:textId="77777777" w:rsidR="001575CF" w:rsidRPr="00A970B2" w:rsidRDefault="001575CF" w:rsidP="00AD7C35">
            <w:pPr>
              <w:widowControl w:val="0"/>
              <w:spacing w:line="276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1896" w:type="dxa"/>
            <w:vMerge/>
            <w:tcBorders>
              <w:left w:val="nil"/>
              <w:right w:val="single" w:sz="4" w:space="0" w:color="auto"/>
            </w:tcBorders>
          </w:tcPr>
          <w:p w14:paraId="689B72D6" w14:textId="77777777" w:rsidR="001575CF" w:rsidRDefault="001575CF" w:rsidP="008A6AE6">
            <w:pPr>
              <w:widowControl w:val="0"/>
              <w:spacing w:line="276" w:lineRule="auto"/>
              <w:jc w:val="both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1575CF" w:rsidRPr="007E3D13" w14:paraId="18593433" w14:textId="77777777" w:rsidTr="00AD7C35">
        <w:trPr>
          <w:trHeight w:val="425"/>
        </w:trPr>
        <w:tc>
          <w:tcPr>
            <w:tcW w:w="10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C081EB6" w14:textId="77777777" w:rsidR="001575CF" w:rsidRPr="00A970B2" w:rsidRDefault="001575CF" w:rsidP="007E3D13">
            <w:pPr>
              <w:widowControl w:val="0"/>
              <w:spacing w:line="276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1.3</w:t>
            </w:r>
          </w:p>
        </w:tc>
        <w:tc>
          <w:tcPr>
            <w:tcW w:w="567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7E8EF9F7" w14:textId="173FC23A" w:rsidR="001575CF" w:rsidRPr="00A970B2" w:rsidRDefault="001575CF" w:rsidP="0048694B">
            <w:pPr>
              <w:widowControl w:val="0"/>
              <w:spacing w:line="276" w:lineRule="auto"/>
              <w:jc w:val="both"/>
              <w:rPr>
                <w:rFonts w:cs="Arial"/>
                <w:color w:val="000000"/>
                <w:sz w:val="18"/>
                <w:szCs w:val="18"/>
              </w:rPr>
            </w:pPr>
            <w:r w:rsidRPr="00A970B2">
              <w:rPr>
                <w:rFonts w:cs="Arial"/>
                <w:color w:val="000000"/>
                <w:sz w:val="18"/>
                <w:szCs w:val="18"/>
              </w:rPr>
              <w:t xml:space="preserve">State the </w:t>
            </w:r>
            <w:r w:rsidRPr="00AD7C35">
              <w:rPr>
                <w:rFonts w:cs="Arial"/>
                <w:color w:val="000000"/>
                <w:sz w:val="18"/>
                <w:szCs w:val="18"/>
              </w:rPr>
              <w:t>number</w:t>
            </w:r>
            <w:r w:rsidRPr="00A970B2">
              <w:rPr>
                <w:rFonts w:cs="Arial"/>
                <w:color w:val="000000"/>
                <w:sz w:val="18"/>
                <w:szCs w:val="18"/>
              </w:rPr>
              <w:t xml:space="preserve"> of personnel who were employed to deliver the Services</w:t>
            </w:r>
            <w:r w:rsidR="00D4642E"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559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186E5E" w14:textId="77777777" w:rsidR="001575CF" w:rsidRPr="00AD7C35" w:rsidRDefault="001575CF" w:rsidP="004E5E67">
            <w:pPr>
              <w:widowControl w:val="0"/>
              <w:spacing w:line="276" w:lineRule="auto"/>
              <w:jc w:val="center"/>
              <w:rPr>
                <w:rFonts w:cs="Arial"/>
                <w:b/>
                <w:color w:val="000000"/>
                <w:sz w:val="18"/>
                <w:szCs w:val="18"/>
              </w:rPr>
            </w:pPr>
            <w:r w:rsidRPr="00AD7C35">
              <w:rPr>
                <w:rFonts w:cs="Arial"/>
                <w:b/>
                <w:color w:val="000000"/>
                <w:sz w:val="18"/>
                <w:szCs w:val="18"/>
              </w:rPr>
              <w:t>2</w:t>
            </w:r>
          </w:p>
        </w:tc>
        <w:tc>
          <w:tcPr>
            <w:tcW w:w="2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4EECE2" w14:textId="77777777" w:rsidR="001575CF" w:rsidRPr="00A508F8" w:rsidRDefault="001575CF" w:rsidP="00A508F8">
            <w:pPr>
              <w:widowControl w:val="0"/>
              <w:spacing w:line="276" w:lineRule="auto"/>
              <w:jc w:val="both"/>
              <w:rPr>
                <w:rFonts w:cs="Arial"/>
                <w:sz w:val="18"/>
                <w:szCs w:val="18"/>
              </w:rPr>
            </w:pPr>
            <w:r w:rsidRPr="00A508F8">
              <w:rPr>
                <w:rFonts w:cs="Arial"/>
                <w:sz w:val="18"/>
                <w:szCs w:val="18"/>
              </w:rPr>
              <w:t xml:space="preserve">Less than </w:t>
            </w:r>
            <w:r w:rsidR="00A508F8">
              <w:rPr>
                <w:rFonts w:cs="Arial"/>
                <w:sz w:val="18"/>
                <w:szCs w:val="18"/>
              </w:rPr>
              <w:t>250</w:t>
            </w:r>
            <w:r w:rsidRPr="00A508F8">
              <w:rPr>
                <w:rFonts w:cs="Arial"/>
                <w:sz w:val="18"/>
                <w:szCs w:val="18"/>
              </w:rPr>
              <w:t>.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E260AF" w14:textId="77777777" w:rsidR="001575CF" w:rsidRPr="00A970B2" w:rsidRDefault="001575CF" w:rsidP="00AD7C35">
            <w:pPr>
              <w:widowControl w:val="0"/>
              <w:spacing w:line="276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A970B2">
              <w:rPr>
                <w:rFonts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1896" w:type="dxa"/>
            <w:vMerge/>
            <w:tcBorders>
              <w:left w:val="nil"/>
              <w:right w:val="single" w:sz="4" w:space="0" w:color="auto"/>
            </w:tcBorders>
          </w:tcPr>
          <w:p w14:paraId="67A3F775" w14:textId="77777777" w:rsidR="001575CF" w:rsidRPr="00A970B2" w:rsidRDefault="001575CF" w:rsidP="008A6AE6">
            <w:pPr>
              <w:widowControl w:val="0"/>
              <w:spacing w:line="276" w:lineRule="auto"/>
              <w:jc w:val="both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1575CF" w:rsidRPr="007E3D13" w14:paraId="0AFAC32D" w14:textId="77777777" w:rsidTr="00AD7C35">
        <w:trPr>
          <w:trHeight w:val="425"/>
        </w:trPr>
        <w:tc>
          <w:tcPr>
            <w:tcW w:w="10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344333" w14:textId="77777777" w:rsidR="001575CF" w:rsidRPr="00A970B2" w:rsidRDefault="001575CF" w:rsidP="007E3D13">
            <w:pPr>
              <w:widowControl w:val="0"/>
              <w:spacing w:line="276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67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02B79F" w14:textId="77777777" w:rsidR="001575CF" w:rsidRPr="00A970B2" w:rsidRDefault="001575CF" w:rsidP="007E3D13">
            <w:pPr>
              <w:widowControl w:val="0"/>
              <w:numPr>
                <w:ilvl w:val="0"/>
                <w:numId w:val="2"/>
              </w:numPr>
              <w:spacing w:line="276" w:lineRule="auto"/>
              <w:ind w:left="462" w:hanging="462"/>
              <w:jc w:val="both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4B1C2A" w14:textId="77777777" w:rsidR="001575CF" w:rsidRPr="008A6AE6" w:rsidRDefault="001575CF">
            <w:pPr>
              <w:widowControl w:val="0"/>
              <w:spacing w:line="276" w:lineRule="auto"/>
              <w:jc w:val="center"/>
              <w:rPr>
                <w:rFonts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2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844316" w14:textId="77777777" w:rsidR="001575CF" w:rsidRPr="00A508F8" w:rsidRDefault="001575CF" w:rsidP="00A508F8">
            <w:pPr>
              <w:widowControl w:val="0"/>
              <w:spacing w:line="276" w:lineRule="auto"/>
              <w:jc w:val="both"/>
              <w:rPr>
                <w:rFonts w:cs="Arial"/>
                <w:sz w:val="18"/>
                <w:szCs w:val="18"/>
              </w:rPr>
            </w:pPr>
            <w:r w:rsidRPr="00A508F8">
              <w:rPr>
                <w:rFonts w:cs="Arial"/>
                <w:sz w:val="18"/>
                <w:szCs w:val="18"/>
              </w:rPr>
              <w:t xml:space="preserve">More than </w:t>
            </w:r>
            <w:r w:rsidR="00A508F8">
              <w:rPr>
                <w:rFonts w:cs="Arial"/>
                <w:sz w:val="18"/>
                <w:szCs w:val="18"/>
              </w:rPr>
              <w:t>250</w:t>
            </w:r>
            <w:r w:rsidRPr="00A508F8">
              <w:rPr>
                <w:rFonts w:cs="Arial"/>
                <w:sz w:val="18"/>
                <w:szCs w:val="18"/>
              </w:rPr>
              <w:t>.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0E75F0" w14:textId="77777777" w:rsidR="001575CF" w:rsidRPr="00A970B2" w:rsidRDefault="001575CF" w:rsidP="00AD7C35">
            <w:pPr>
              <w:widowControl w:val="0"/>
              <w:spacing w:line="276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896" w:type="dxa"/>
            <w:vMerge/>
            <w:tcBorders>
              <w:left w:val="nil"/>
              <w:right w:val="single" w:sz="4" w:space="0" w:color="auto"/>
            </w:tcBorders>
          </w:tcPr>
          <w:p w14:paraId="76CF54F2" w14:textId="77777777" w:rsidR="001575CF" w:rsidRDefault="001575CF" w:rsidP="008A6AE6">
            <w:pPr>
              <w:widowControl w:val="0"/>
              <w:spacing w:line="276" w:lineRule="auto"/>
              <w:jc w:val="both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1575CF" w:rsidRPr="007E3D13" w14:paraId="224E0519" w14:textId="77777777" w:rsidTr="00AD7C35">
        <w:trPr>
          <w:trHeight w:val="425"/>
        </w:trPr>
        <w:tc>
          <w:tcPr>
            <w:tcW w:w="10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11E412E" w14:textId="77777777" w:rsidR="001575CF" w:rsidRPr="00A970B2" w:rsidRDefault="001575CF" w:rsidP="007E3D13">
            <w:pPr>
              <w:widowControl w:val="0"/>
              <w:spacing w:line="276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1.4</w:t>
            </w:r>
          </w:p>
        </w:tc>
        <w:tc>
          <w:tcPr>
            <w:tcW w:w="567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10B76585" w14:textId="77777777" w:rsidR="001575CF" w:rsidRPr="00A970B2" w:rsidRDefault="001575CF" w:rsidP="0048694B">
            <w:pPr>
              <w:widowControl w:val="0"/>
              <w:spacing w:line="276" w:lineRule="auto"/>
              <w:jc w:val="both"/>
              <w:rPr>
                <w:rFonts w:cs="Arial"/>
                <w:color w:val="000000"/>
                <w:sz w:val="18"/>
                <w:szCs w:val="18"/>
              </w:rPr>
            </w:pPr>
            <w:r w:rsidRPr="00A970B2">
              <w:rPr>
                <w:rFonts w:cs="Arial"/>
                <w:color w:val="000000"/>
                <w:sz w:val="18"/>
                <w:szCs w:val="18"/>
              </w:rPr>
              <w:t xml:space="preserve">State </w:t>
            </w:r>
            <w:r w:rsidRPr="002C1051">
              <w:rPr>
                <w:rFonts w:cs="Arial"/>
                <w:color w:val="000000"/>
                <w:sz w:val="18"/>
                <w:szCs w:val="18"/>
              </w:rPr>
              <w:t xml:space="preserve">the </w:t>
            </w:r>
            <w:r w:rsidRPr="00AD7C35">
              <w:rPr>
                <w:rFonts w:cs="Arial"/>
                <w:color w:val="000000"/>
                <w:sz w:val="18"/>
                <w:szCs w:val="18"/>
              </w:rPr>
              <w:t>duration</w:t>
            </w:r>
            <w:r w:rsidRPr="00A970B2">
              <w:rPr>
                <w:rFonts w:cs="Arial"/>
                <w:color w:val="000000"/>
                <w:sz w:val="18"/>
                <w:szCs w:val="18"/>
              </w:rPr>
              <w:t xml:space="preserve"> of the contracts.</w:t>
            </w:r>
          </w:p>
        </w:tc>
        <w:tc>
          <w:tcPr>
            <w:tcW w:w="1559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BE50B1" w14:textId="77777777" w:rsidR="001575CF" w:rsidRPr="00AD7C35" w:rsidRDefault="001575CF" w:rsidP="004E5E67">
            <w:pPr>
              <w:widowControl w:val="0"/>
              <w:spacing w:line="276" w:lineRule="auto"/>
              <w:jc w:val="center"/>
              <w:rPr>
                <w:rFonts w:cs="Arial"/>
                <w:b/>
                <w:color w:val="000000"/>
                <w:sz w:val="18"/>
                <w:szCs w:val="18"/>
              </w:rPr>
            </w:pPr>
            <w:r w:rsidRPr="00AD7C35">
              <w:rPr>
                <w:rFonts w:cs="Arial"/>
                <w:b/>
                <w:color w:val="000000"/>
                <w:sz w:val="18"/>
                <w:szCs w:val="18"/>
              </w:rPr>
              <w:t>2</w:t>
            </w:r>
          </w:p>
        </w:tc>
        <w:tc>
          <w:tcPr>
            <w:tcW w:w="2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2A8B0A" w14:textId="77777777" w:rsidR="001575CF" w:rsidRPr="00A970B2" w:rsidRDefault="001575CF" w:rsidP="002D31DB">
            <w:pPr>
              <w:widowControl w:val="0"/>
              <w:spacing w:line="276" w:lineRule="auto"/>
              <w:jc w:val="both"/>
              <w:rPr>
                <w:rFonts w:cs="Arial"/>
                <w:color w:val="000000"/>
                <w:sz w:val="18"/>
                <w:szCs w:val="18"/>
              </w:rPr>
            </w:pPr>
            <w:r w:rsidRPr="00A970B2">
              <w:rPr>
                <w:rFonts w:cs="Arial"/>
                <w:color w:val="000000"/>
                <w:sz w:val="18"/>
                <w:szCs w:val="18"/>
              </w:rPr>
              <w:t xml:space="preserve">Less than 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3 </w:t>
            </w:r>
            <w:r w:rsidRPr="00A970B2">
              <w:rPr>
                <w:rFonts w:cs="Arial"/>
                <w:color w:val="000000"/>
                <w:sz w:val="18"/>
                <w:szCs w:val="18"/>
              </w:rPr>
              <w:t>Years.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24D853" w14:textId="77777777" w:rsidR="001575CF" w:rsidRPr="00A970B2" w:rsidRDefault="001575CF" w:rsidP="00AD7C35">
            <w:pPr>
              <w:widowControl w:val="0"/>
              <w:spacing w:line="276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A970B2">
              <w:rPr>
                <w:rFonts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1896" w:type="dxa"/>
            <w:vMerge/>
            <w:tcBorders>
              <w:left w:val="nil"/>
              <w:right w:val="single" w:sz="4" w:space="0" w:color="auto"/>
            </w:tcBorders>
          </w:tcPr>
          <w:p w14:paraId="6D8BABE3" w14:textId="77777777" w:rsidR="001575CF" w:rsidRPr="00A970B2" w:rsidRDefault="001575CF" w:rsidP="008A6AE6">
            <w:pPr>
              <w:widowControl w:val="0"/>
              <w:spacing w:line="276" w:lineRule="auto"/>
              <w:jc w:val="both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1575CF" w:rsidRPr="007E3D13" w14:paraId="59F406F6" w14:textId="77777777" w:rsidTr="00AD7C35">
        <w:trPr>
          <w:trHeight w:val="425"/>
        </w:trPr>
        <w:tc>
          <w:tcPr>
            <w:tcW w:w="10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265DA2" w14:textId="77777777" w:rsidR="001575CF" w:rsidRPr="00A970B2" w:rsidRDefault="001575CF" w:rsidP="007E3D13">
            <w:pPr>
              <w:widowControl w:val="0"/>
              <w:spacing w:line="276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67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E2E99E" w14:textId="77777777" w:rsidR="001575CF" w:rsidRPr="00A970B2" w:rsidRDefault="001575CF" w:rsidP="007E3D13">
            <w:pPr>
              <w:widowControl w:val="0"/>
              <w:numPr>
                <w:ilvl w:val="0"/>
                <w:numId w:val="2"/>
              </w:numPr>
              <w:spacing w:line="276" w:lineRule="auto"/>
              <w:ind w:left="462" w:hanging="462"/>
              <w:jc w:val="both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291D1B" w14:textId="77777777" w:rsidR="001575CF" w:rsidRPr="008A6AE6" w:rsidRDefault="001575CF">
            <w:pPr>
              <w:widowControl w:val="0"/>
              <w:spacing w:line="276" w:lineRule="auto"/>
              <w:jc w:val="center"/>
              <w:rPr>
                <w:rFonts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2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4E4BF4" w14:textId="77777777" w:rsidR="001575CF" w:rsidRPr="00A970B2" w:rsidRDefault="001575CF" w:rsidP="002D31DB">
            <w:pPr>
              <w:widowControl w:val="0"/>
              <w:spacing w:line="276" w:lineRule="auto"/>
              <w:jc w:val="both"/>
              <w:rPr>
                <w:rFonts w:cs="Arial"/>
                <w:color w:val="000000"/>
                <w:sz w:val="18"/>
                <w:szCs w:val="18"/>
              </w:rPr>
            </w:pPr>
            <w:r w:rsidRPr="00A970B2">
              <w:rPr>
                <w:rFonts w:cs="Arial"/>
                <w:color w:val="000000"/>
                <w:sz w:val="18"/>
                <w:szCs w:val="18"/>
              </w:rPr>
              <w:t xml:space="preserve">More than </w:t>
            </w:r>
            <w:r>
              <w:rPr>
                <w:rFonts w:cs="Arial"/>
                <w:color w:val="000000"/>
                <w:sz w:val="18"/>
                <w:szCs w:val="18"/>
              </w:rPr>
              <w:t>3</w:t>
            </w:r>
            <w:r w:rsidRPr="00A970B2">
              <w:rPr>
                <w:rFonts w:cs="Arial"/>
                <w:color w:val="000000"/>
                <w:sz w:val="18"/>
                <w:szCs w:val="18"/>
              </w:rPr>
              <w:t xml:space="preserve"> years.</w:t>
            </w:r>
          </w:p>
        </w:tc>
        <w:tc>
          <w:tcPr>
            <w:tcW w:w="1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C4C3DB" w14:textId="77777777" w:rsidR="001575CF" w:rsidRPr="00A970B2" w:rsidRDefault="001575CF" w:rsidP="00AD7C35">
            <w:pPr>
              <w:widowControl w:val="0"/>
              <w:spacing w:line="276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89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6D9A77D5" w14:textId="77777777" w:rsidR="001575CF" w:rsidRDefault="001575CF" w:rsidP="008A6AE6">
            <w:pPr>
              <w:widowControl w:val="0"/>
              <w:spacing w:line="276" w:lineRule="auto"/>
              <w:jc w:val="both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1575CF" w:rsidRPr="007E3D13" w14:paraId="6E21337B" w14:textId="77777777" w:rsidTr="00AD7C35">
        <w:trPr>
          <w:trHeight w:val="301"/>
        </w:trPr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hideMark/>
          </w:tcPr>
          <w:p w14:paraId="01BBEA75" w14:textId="77777777" w:rsidR="001575CF" w:rsidRPr="007E3D13" w:rsidRDefault="001575CF" w:rsidP="007E3D13">
            <w:pPr>
              <w:widowControl w:val="0"/>
              <w:spacing w:line="276" w:lineRule="auto"/>
              <w:jc w:val="center"/>
              <w:rPr>
                <w:rFonts w:cs="Arial"/>
                <w:b/>
                <w:bCs/>
                <w:color w:val="000000"/>
              </w:rPr>
            </w:pPr>
            <w:r w:rsidRPr="007E3D13">
              <w:rPr>
                <w:rFonts w:cs="Arial"/>
                <w:b/>
                <w:bCs/>
                <w:color w:val="000000"/>
              </w:rPr>
              <w:t>2.0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211E2AE0" w14:textId="7BC51ED1" w:rsidR="001575CF" w:rsidRPr="007E3D13" w:rsidRDefault="001575CF" w:rsidP="004A41E9">
            <w:pPr>
              <w:widowControl w:val="0"/>
              <w:spacing w:line="276" w:lineRule="auto"/>
              <w:jc w:val="both"/>
              <w:rPr>
                <w:rFonts w:cs="Arial"/>
                <w:b/>
                <w:bCs/>
                <w:color w:val="000000"/>
              </w:rPr>
            </w:pPr>
            <w:r w:rsidRPr="007E3D13">
              <w:rPr>
                <w:rFonts w:cs="Arial"/>
                <w:b/>
                <w:bCs/>
                <w:color w:val="000000"/>
              </w:rPr>
              <w:t xml:space="preserve">Infrastructure </w:t>
            </w:r>
            <w:r w:rsidR="00B52E64">
              <w:rPr>
                <w:rFonts w:cs="Arial"/>
                <w:b/>
                <w:bCs/>
                <w:color w:val="000000"/>
              </w:rPr>
              <w:t xml:space="preserve">and </w:t>
            </w:r>
            <w:r>
              <w:rPr>
                <w:rFonts w:cs="Arial"/>
                <w:b/>
                <w:bCs/>
                <w:color w:val="000000"/>
              </w:rPr>
              <w:t>Capability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  <w:hideMark/>
          </w:tcPr>
          <w:p w14:paraId="1D5F98D7" w14:textId="77777777" w:rsidR="001575CF" w:rsidRPr="002C1051" w:rsidRDefault="001575CF" w:rsidP="004E5E67">
            <w:pPr>
              <w:widowControl w:val="0"/>
              <w:spacing w:line="276" w:lineRule="auto"/>
              <w:jc w:val="center"/>
              <w:rPr>
                <w:rFonts w:cs="Arial"/>
                <w:b/>
                <w:bCs/>
                <w:color w:val="000000"/>
              </w:rPr>
            </w:pPr>
            <w:r w:rsidRPr="002C1051">
              <w:rPr>
                <w:rFonts w:cs="Arial"/>
                <w:b/>
                <w:bCs/>
                <w:color w:val="000000"/>
              </w:rPr>
              <w:t>40</w:t>
            </w:r>
          </w:p>
        </w:tc>
        <w:tc>
          <w:tcPr>
            <w:tcW w:w="2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777722D4" w14:textId="77777777" w:rsidR="001575CF" w:rsidRPr="007E3D13" w:rsidRDefault="001575CF" w:rsidP="00283187">
            <w:pPr>
              <w:widowControl w:val="0"/>
              <w:spacing w:line="276" w:lineRule="auto"/>
              <w:jc w:val="both"/>
              <w:rPr>
                <w:rFonts w:cs="Arial"/>
                <w:color w:val="00000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30801E18" w14:textId="77777777" w:rsidR="001575CF" w:rsidRPr="007E3D13" w:rsidRDefault="001575CF" w:rsidP="00AD7C35">
            <w:pPr>
              <w:widowControl w:val="0"/>
              <w:spacing w:line="276" w:lineRule="auto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3E0F5AF5" w14:textId="77777777" w:rsidR="001575CF" w:rsidRPr="007E3D13" w:rsidRDefault="001575CF" w:rsidP="00AD7C35">
            <w:pPr>
              <w:widowControl w:val="0"/>
              <w:spacing w:line="276" w:lineRule="auto"/>
              <w:jc w:val="both"/>
              <w:rPr>
                <w:rFonts w:cs="Arial"/>
                <w:color w:val="000000"/>
              </w:rPr>
            </w:pPr>
          </w:p>
        </w:tc>
      </w:tr>
      <w:tr w:rsidR="001575CF" w:rsidRPr="007E3D13" w14:paraId="6161279B" w14:textId="77777777" w:rsidTr="00AD7C35">
        <w:trPr>
          <w:trHeight w:val="1086"/>
        </w:trPr>
        <w:tc>
          <w:tcPr>
            <w:tcW w:w="10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AC0E4A8" w14:textId="77777777" w:rsidR="001575CF" w:rsidRPr="00F07058" w:rsidRDefault="001575CF" w:rsidP="007E3D13">
            <w:pPr>
              <w:widowControl w:val="0"/>
              <w:spacing w:line="276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F07058">
              <w:rPr>
                <w:rFonts w:cs="Arial"/>
                <w:color w:val="000000"/>
                <w:sz w:val="18"/>
                <w:szCs w:val="18"/>
              </w:rPr>
              <w:t>2.1</w:t>
            </w:r>
          </w:p>
        </w:tc>
        <w:tc>
          <w:tcPr>
            <w:tcW w:w="567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FAF020" w14:textId="5F730FE3" w:rsidR="001575CF" w:rsidRPr="00F07058" w:rsidRDefault="00A93A16">
            <w:pPr>
              <w:widowControl w:val="0"/>
              <w:spacing w:line="276" w:lineRule="auto"/>
              <w:jc w:val="both"/>
              <w:rPr>
                <w:rFonts w:cs="Arial"/>
                <w:color w:val="000000"/>
                <w:sz w:val="18"/>
                <w:szCs w:val="18"/>
              </w:rPr>
            </w:pPr>
            <w:r w:rsidRPr="00F07058">
              <w:rPr>
                <w:rFonts w:cs="Arial"/>
                <w:color w:val="000000"/>
                <w:sz w:val="18"/>
                <w:szCs w:val="18"/>
              </w:rPr>
              <w:t>The</w:t>
            </w:r>
            <w:r w:rsidR="001575CF" w:rsidRPr="00F07058"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 w:rsidR="00DC183D">
              <w:rPr>
                <w:rFonts w:cs="Arial"/>
                <w:color w:val="000000"/>
                <w:sz w:val="18"/>
                <w:szCs w:val="18"/>
              </w:rPr>
              <w:t>Bidder</w:t>
            </w:r>
            <w:r w:rsidR="001575CF" w:rsidRPr="00F07058"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must demonstrate that it has a </w:t>
            </w:r>
            <w:r w:rsidRPr="003A382E">
              <w:rPr>
                <w:rFonts w:cs="Arial"/>
                <w:color w:val="000000"/>
                <w:sz w:val="18"/>
                <w:szCs w:val="18"/>
              </w:rPr>
              <w:t>presence</w:t>
            </w:r>
            <w:r w:rsidR="001575CF" w:rsidRPr="003A382E">
              <w:rPr>
                <w:rFonts w:cs="Arial"/>
                <w:color w:val="000000"/>
                <w:sz w:val="18"/>
                <w:szCs w:val="18"/>
              </w:rPr>
              <w:t xml:space="preserve"> in the</w:t>
            </w:r>
            <w:r w:rsidR="001575CF" w:rsidRPr="00F07058">
              <w:rPr>
                <w:rFonts w:cs="Arial"/>
                <w:color w:val="000000"/>
                <w:sz w:val="18"/>
                <w:szCs w:val="18"/>
              </w:rPr>
              <w:t xml:space="preserve"> region it intends to deliver the Services</w:t>
            </w:r>
            <w:r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559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DABC4B" w14:textId="77777777" w:rsidR="001575CF" w:rsidRPr="00AD7C35" w:rsidRDefault="001575CF" w:rsidP="004E5E67">
            <w:pPr>
              <w:widowControl w:val="0"/>
              <w:spacing w:line="276" w:lineRule="auto"/>
              <w:jc w:val="center"/>
              <w:rPr>
                <w:rFonts w:cs="Arial"/>
                <w:b/>
                <w:color w:val="000000"/>
                <w:sz w:val="18"/>
                <w:szCs w:val="18"/>
              </w:rPr>
            </w:pPr>
            <w:r w:rsidRPr="00AD7C35">
              <w:rPr>
                <w:rFonts w:cs="Arial"/>
                <w:b/>
                <w:color w:val="000000"/>
                <w:sz w:val="18"/>
                <w:szCs w:val="18"/>
              </w:rPr>
              <w:t>15</w:t>
            </w:r>
          </w:p>
        </w:tc>
        <w:tc>
          <w:tcPr>
            <w:tcW w:w="2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76335C" w14:textId="47F19EA5" w:rsidR="001575CF" w:rsidRPr="00F07058" w:rsidRDefault="001575CF" w:rsidP="00C449BC">
            <w:pPr>
              <w:widowControl w:val="0"/>
              <w:spacing w:line="276" w:lineRule="auto"/>
              <w:jc w:val="both"/>
              <w:rPr>
                <w:rFonts w:cs="Arial"/>
                <w:color w:val="000000"/>
                <w:sz w:val="18"/>
                <w:szCs w:val="18"/>
              </w:rPr>
            </w:pPr>
            <w:r w:rsidRPr="00F07058">
              <w:rPr>
                <w:rFonts w:cs="Arial"/>
                <w:color w:val="000000"/>
                <w:sz w:val="18"/>
                <w:szCs w:val="18"/>
              </w:rPr>
              <w:t>0 office</w:t>
            </w:r>
            <w:r w:rsidR="00110720">
              <w:rPr>
                <w:rFonts w:cs="Arial"/>
                <w:color w:val="000000"/>
                <w:sz w:val="18"/>
                <w:szCs w:val="18"/>
              </w:rPr>
              <w:t>s</w:t>
            </w:r>
            <w:r w:rsidRPr="00F07058"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 w:rsidR="00325E52" w:rsidRPr="00325E52">
              <w:rPr>
                <w:rFonts w:cs="Arial"/>
                <w:color w:val="000000"/>
                <w:sz w:val="18"/>
                <w:szCs w:val="18"/>
              </w:rPr>
              <w:t>in the region</w:t>
            </w:r>
            <w:r w:rsidR="00110720" w:rsidRPr="00110720">
              <w:rPr>
                <w:rFonts w:cs="Arial"/>
                <w:color w:val="000000"/>
                <w:sz w:val="18"/>
                <w:szCs w:val="18"/>
              </w:rPr>
              <w:t xml:space="preserve"> tendered for</w:t>
            </w:r>
            <w:r w:rsidR="001600B8"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9D070B" w14:textId="77777777" w:rsidR="001575CF" w:rsidRPr="00F07058" w:rsidRDefault="001575CF" w:rsidP="00AD7C35">
            <w:pPr>
              <w:widowControl w:val="0"/>
              <w:spacing w:line="276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F07058">
              <w:rPr>
                <w:rFonts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189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1F24C9DF" w14:textId="32A4D597" w:rsidR="00325E52" w:rsidRPr="00F07058" w:rsidRDefault="001575CF" w:rsidP="00AD7C35">
            <w:pPr>
              <w:widowControl w:val="0"/>
              <w:spacing w:line="276" w:lineRule="auto"/>
              <w:jc w:val="both"/>
              <w:rPr>
                <w:rFonts w:cs="Arial"/>
                <w:color w:val="000000"/>
                <w:sz w:val="18"/>
                <w:szCs w:val="18"/>
              </w:rPr>
            </w:pPr>
            <w:r w:rsidRPr="001575CF">
              <w:rPr>
                <w:rFonts w:cs="Arial"/>
                <w:color w:val="000000"/>
                <w:sz w:val="18"/>
                <w:szCs w:val="18"/>
              </w:rPr>
              <w:t>Proof of ownership</w:t>
            </w:r>
            <w:r w:rsidR="00A93A16">
              <w:rPr>
                <w:rFonts w:cs="Arial"/>
                <w:color w:val="000000"/>
                <w:sz w:val="18"/>
                <w:szCs w:val="18"/>
              </w:rPr>
              <w:t xml:space="preserve"> of the office building</w:t>
            </w:r>
            <w:r w:rsidRPr="001575CF">
              <w:rPr>
                <w:rFonts w:cs="Arial"/>
                <w:color w:val="000000"/>
                <w:sz w:val="18"/>
                <w:szCs w:val="18"/>
              </w:rPr>
              <w:t xml:space="preserve"> or </w:t>
            </w:r>
            <w:r w:rsidR="00A93A16">
              <w:rPr>
                <w:rFonts w:cs="Arial"/>
                <w:color w:val="000000"/>
                <w:sz w:val="18"/>
                <w:szCs w:val="18"/>
              </w:rPr>
              <w:t xml:space="preserve">a </w:t>
            </w:r>
            <w:r w:rsidRPr="001575CF">
              <w:rPr>
                <w:rFonts w:cs="Arial"/>
                <w:color w:val="000000"/>
                <w:sz w:val="18"/>
                <w:szCs w:val="18"/>
              </w:rPr>
              <w:t>rental agreement for the</w:t>
            </w:r>
            <w:r w:rsidR="00A93A16">
              <w:rPr>
                <w:rFonts w:cs="Arial"/>
                <w:color w:val="000000"/>
                <w:sz w:val="18"/>
                <w:szCs w:val="18"/>
              </w:rPr>
              <w:t xml:space="preserve"> leasing of the</w:t>
            </w:r>
            <w:r w:rsidRPr="001575CF"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 w:rsidR="00A93A16" w:rsidRPr="001575CF">
              <w:rPr>
                <w:rFonts w:cs="Arial"/>
                <w:color w:val="000000"/>
                <w:sz w:val="18"/>
                <w:szCs w:val="18"/>
              </w:rPr>
              <w:t>Bidder</w:t>
            </w:r>
            <w:r w:rsidRPr="001575CF"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 w:rsidR="00A93A16">
              <w:rPr>
                <w:rFonts w:cs="Arial"/>
                <w:color w:val="000000"/>
                <w:sz w:val="18"/>
                <w:szCs w:val="18"/>
              </w:rPr>
              <w:t xml:space="preserve">and/or subcontractor’s </w:t>
            </w:r>
            <w:r w:rsidRPr="001575CF">
              <w:rPr>
                <w:rFonts w:cs="Arial"/>
                <w:color w:val="000000"/>
                <w:sz w:val="18"/>
                <w:szCs w:val="18"/>
              </w:rPr>
              <w:t xml:space="preserve">office in the </w:t>
            </w:r>
            <w:r w:rsidR="00110720" w:rsidRPr="001575CF">
              <w:rPr>
                <w:rFonts w:cs="Arial"/>
                <w:color w:val="000000"/>
                <w:sz w:val="18"/>
                <w:szCs w:val="18"/>
              </w:rPr>
              <w:t>region</w:t>
            </w:r>
            <w:r w:rsidRPr="001575CF">
              <w:rPr>
                <w:rFonts w:cs="Arial"/>
                <w:color w:val="000000"/>
                <w:sz w:val="18"/>
                <w:szCs w:val="18"/>
              </w:rPr>
              <w:t xml:space="preserve"> tendered for</w:t>
            </w:r>
            <w:r w:rsidR="001600B8"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</w:tr>
      <w:tr w:rsidR="001575CF" w:rsidRPr="007E3D13" w14:paraId="1146A437" w14:textId="77777777" w:rsidTr="00AD7C35">
        <w:trPr>
          <w:trHeight w:val="550"/>
        </w:trPr>
        <w:tc>
          <w:tcPr>
            <w:tcW w:w="10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395CF8" w14:textId="77777777" w:rsidR="001575CF" w:rsidRPr="00F07058" w:rsidRDefault="001575CF" w:rsidP="007E3D13">
            <w:pPr>
              <w:widowControl w:val="0"/>
              <w:spacing w:line="276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67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B07302" w14:textId="77777777" w:rsidR="001575CF" w:rsidRPr="00F07058" w:rsidRDefault="001575CF">
            <w:pPr>
              <w:widowControl w:val="0"/>
              <w:numPr>
                <w:ilvl w:val="0"/>
                <w:numId w:val="2"/>
              </w:numPr>
              <w:spacing w:line="276" w:lineRule="auto"/>
              <w:ind w:left="462" w:hanging="462"/>
              <w:jc w:val="both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38D031" w14:textId="77777777" w:rsidR="001575CF" w:rsidRPr="008A6AE6" w:rsidRDefault="001575CF">
            <w:pPr>
              <w:widowControl w:val="0"/>
              <w:spacing w:line="276" w:lineRule="auto"/>
              <w:jc w:val="center"/>
              <w:rPr>
                <w:rFonts w:cs="Arial"/>
                <w:b/>
                <w:color w:val="000000"/>
                <w:sz w:val="18"/>
                <w:szCs w:val="18"/>
                <w:highlight w:val="green"/>
              </w:rPr>
            </w:pPr>
          </w:p>
        </w:tc>
        <w:tc>
          <w:tcPr>
            <w:tcW w:w="2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97D80C" w14:textId="614F261A" w:rsidR="001575CF" w:rsidRPr="00F07058" w:rsidRDefault="001575CF" w:rsidP="00C449BC">
            <w:pPr>
              <w:widowControl w:val="0"/>
              <w:spacing w:line="276" w:lineRule="auto"/>
              <w:jc w:val="both"/>
              <w:rPr>
                <w:rFonts w:cs="Arial"/>
                <w:color w:val="000000"/>
                <w:sz w:val="18"/>
                <w:szCs w:val="18"/>
              </w:rPr>
            </w:pPr>
            <w:r w:rsidRPr="00F07058">
              <w:rPr>
                <w:rFonts w:cs="Arial"/>
                <w:color w:val="000000"/>
                <w:sz w:val="18"/>
                <w:szCs w:val="18"/>
              </w:rPr>
              <w:t xml:space="preserve">1 or more offices </w:t>
            </w:r>
            <w:r w:rsidR="00325E52" w:rsidRPr="00325E52">
              <w:rPr>
                <w:rFonts w:cs="Arial"/>
                <w:color w:val="000000"/>
                <w:sz w:val="18"/>
                <w:szCs w:val="18"/>
              </w:rPr>
              <w:t>in the region</w:t>
            </w:r>
            <w:r w:rsidR="00110720">
              <w:t xml:space="preserve"> </w:t>
            </w:r>
            <w:r w:rsidR="00110720" w:rsidRPr="00110720">
              <w:rPr>
                <w:rFonts w:cs="Arial"/>
                <w:color w:val="000000"/>
                <w:sz w:val="18"/>
                <w:szCs w:val="18"/>
              </w:rPr>
              <w:t>tendered for</w:t>
            </w:r>
            <w:r w:rsidR="001600B8"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47FBBB" w14:textId="77777777" w:rsidR="001575CF" w:rsidRPr="00F07058" w:rsidRDefault="001575CF" w:rsidP="00AD7C35">
            <w:pPr>
              <w:widowControl w:val="0"/>
              <w:tabs>
                <w:tab w:val="left" w:pos="0"/>
              </w:tabs>
              <w:spacing w:line="276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15</w:t>
            </w:r>
          </w:p>
        </w:tc>
        <w:tc>
          <w:tcPr>
            <w:tcW w:w="189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9117B1" w14:textId="77777777" w:rsidR="001575CF" w:rsidRDefault="001575CF" w:rsidP="008A6AE6">
            <w:pPr>
              <w:widowControl w:val="0"/>
              <w:tabs>
                <w:tab w:val="left" w:pos="0"/>
              </w:tabs>
              <w:spacing w:line="276" w:lineRule="auto"/>
              <w:jc w:val="both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1575CF" w:rsidRPr="007E3D13" w14:paraId="24075AC8" w14:textId="77777777" w:rsidTr="00AD7C35">
        <w:trPr>
          <w:trHeight w:val="990"/>
        </w:trPr>
        <w:tc>
          <w:tcPr>
            <w:tcW w:w="10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E168D52" w14:textId="77777777" w:rsidR="001575CF" w:rsidRPr="00F07058" w:rsidRDefault="001575CF" w:rsidP="001575CF">
            <w:pPr>
              <w:widowControl w:val="0"/>
              <w:spacing w:line="276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F07058">
              <w:rPr>
                <w:rFonts w:cs="Arial"/>
                <w:color w:val="000000"/>
                <w:sz w:val="18"/>
                <w:szCs w:val="18"/>
              </w:rPr>
              <w:t>2.2</w:t>
            </w:r>
          </w:p>
        </w:tc>
        <w:tc>
          <w:tcPr>
            <w:tcW w:w="567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22387D99" w14:textId="19CA993D" w:rsidR="001575CF" w:rsidRPr="00F07058" w:rsidRDefault="002131B5" w:rsidP="004A41E9">
            <w:pPr>
              <w:widowControl w:val="0"/>
              <w:spacing w:line="276" w:lineRule="auto"/>
              <w:jc w:val="both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 xml:space="preserve">The Bidder must indicate </w:t>
            </w:r>
            <w:r w:rsidRPr="00F07058">
              <w:rPr>
                <w:rFonts w:cs="Arial"/>
                <w:color w:val="000000"/>
                <w:sz w:val="18"/>
                <w:szCs w:val="18"/>
              </w:rPr>
              <w:t>how</w:t>
            </w:r>
            <w:r w:rsidR="001575CF" w:rsidRPr="00F07058"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 w:rsidR="001575CF" w:rsidRPr="003A382E">
              <w:rPr>
                <w:rFonts w:cs="Arial"/>
                <w:color w:val="000000"/>
                <w:sz w:val="18"/>
                <w:szCs w:val="18"/>
              </w:rPr>
              <w:t xml:space="preserve">many </w:t>
            </w:r>
            <w:r w:rsidRPr="003A382E">
              <w:rPr>
                <w:rFonts w:cs="Arial"/>
                <w:color w:val="000000"/>
                <w:sz w:val="18"/>
                <w:szCs w:val="18"/>
              </w:rPr>
              <w:t>Security Officers</w:t>
            </w:r>
            <w:r w:rsidRPr="00F07058"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 w:rsidR="001575CF" w:rsidRPr="00F07058">
              <w:rPr>
                <w:rFonts w:cs="Arial"/>
                <w:color w:val="000000"/>
                <w:sz w:val="18"/>
                <w:szCs w:val="18"/>
              </w:rPr>
              <w:t xml:space="preserve">are available for the execution of the </w:t>
            </w:r>
            <w:r w:rsidRPr="00F07058">
              <w:rPr>
                <w:rFonts w:cs="Arial"/>
                <w:color w:val="000000"/>
                <w:sz w:val="18"/>
                <w:szCs w:val="18"/>
              </w:rPr>
              <w:t>Service</w:t>
            </w:r>
            <w:r>
              <w:rPr>
                <w:rFonts w:cs="Arial"/>
                <w:color w:val="000000"/>
                <w:sz w:val="18"/>
                <w:szCs w:val="18"/>
              </w:rPr>
              <w:t>s</w:t>
            </w:r>
            <w:r w:rsidR="001575CF" w:rsidRPr="00F07058">
              <w:rPr>
                <w:rFonts w:cs="Arial"/>
                <w:color w:val="000000"/>
                <w:sz w:val="18"/>
                <w:szCs w:val="18"/>
              </w:rPr>
              <w:t xml:space="preserve"> in the region the </w:t>
            </w:r>
            <w:r w:rsidR="00DC183D">
              <w:rPr>
                <w:rFonts w:cs="Arial"/>
                <w:color w:val="000000"/>
                <w:sz w:val="18"/>
                <w:szCs w:val="18"/>
              </w:rPr>
              <w:t>Bidder</w:t>
            </w:r>
            <w:r w:rsidR="001575CF" w:rsidRPr="00F07058">
              <w:rPr>
                <w:rFonts w:cs="Arial"/>
                <w:color w:val="000000"/>
                <w:sz w:val="18"/>
                <w:szCs w:val="18"/>
              </w:rPr>
              <w:t xml:space="preserve"> intends to deliver the Services</w:t>
            </w:r>
            <w:r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372541" w14:textId="77777777" w:rsidR="001575CF" w:rsidRPr="00AD7C35" w:rsidRDefault="001575CF" w:rsidP="004E5E67">
            <w:pPr>
              <w:widowControl w:val="0"/>
              <w:spacing w:line="276" w:lineRule="auto"/>
              <w:jc w:val="center"/>
              <w:rPr>
                <w:rFonts w:cs="Arial"/>
                <w:b/>
                <w:color w:val="000000"/>
                <w:sz w:val="18"/>
                <w:szCs w:val="18"/>
              </w:rPr>
            </w:pPr>
            <w:r w:rsidRPr="00AD7C35">
              <w:rPr>
                <w:rFonts w:cs="Arial"/>
                <w:b/>
                <w:color w:val="000000"/>
                <w:sz w:val="18"/>
                <w:szCs w:val="18"/>
              </w:rPr>
              <w:t>10</w:t>
            </w:r>
          </w:p>
        </w:tc>
        <w:tc>
          <w:tcPr>
            <w:tcW w:w="2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9D242E" w14:textId="0C6567D8" w:rsidR="001575CF" w:rsidRPr="00F07058" w:rsidRDefault="001575CF" w:rsidP="00B37B57">
            <w:pPr>
              <w:widowControl w:val="0"/>
              <w:spacing w:line="276" w:lineRule="auto"/>
              <w:jc w:val="both"/>
              <w:rPr>
                <w:rFonts w:cs="Arial"/>
                <w:color w:val="000000"/>
                <w:sz w:val="18"/>
                <w:szCs w:val="18"/>
              </w:rPr>
            </w:pPr>
            <w:r w:rsidRPr="00F07058">
              <w:rPr>
                <w:rFonts w:cs="Arial"/>
                <w:color w:val="000000"/>
                <w:sz w:val="18"/>
                <w:szCs w:val="18"/>
              </w:rPr>
              <w:t xml:space="preserve">Less than 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150 </w:t>
            </w:r>
            <w:r w:rsidRPr="00F07058">
              <w:rPr>
                <w:rFonts w:cs="Arial"/>
                <w:color w:val="000000"/>
                <w:sz w:val="18"/>
                <w:szCs w:val="18"/>
              </w:rPr>
              <w:t>Security Officers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in the </w:t>
            </w:r>
            <w:r w:rsidR="00110720">
              <w:rPr>
                <w:rFonts w:cs="Arial"/>
                <w:color w:val="000000"/>
                <w:sz w:val="18"/>
                <w:szCs w:val="18"/>
              </w:rPr>
              <w:t>region</w:t>
            </w:r>
            <w:r w:rsidRPr="00F07058"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 w:rsidR="00110720" w:rsidRPr="00110720">
              <w:rPr>
                <w:rFonts w:cs="Arial"/>
                <w:color w:val="000000"/>
                <w:sz w:val="18"/>
                <w:szCs w:val="18"/>
              </w:rPr>
              <w:t>tendered for</w:t>
            </w:r>
            <w:r w:rsidR="001600B8"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81AC0A" w14:textId="77777777" w:rsidR="001575CF" w:rsidRPr="00F07058" w:rsidRDefault="001575CF" w:rsidP="00AD7C35">
            <w:pPr>
              <w:widowControl w:val="0"/>
              <w:spacing w:line="276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F07058">
              <w:rPr>
                <w:rFonts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189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1EB1BF5F" w14:textId="2C4CA5CF" w:rsidR="001575CF" w:rsidRPr="00F07058" w:rsidRDefault="001575CF" w:rsidP="00AD7C35">
            <w:pPr>
              <w:widowControl w:val="0"/>
              <w:spacing w:line="276" w:lineRule="auto"/>
              <w:jc w:val="both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 xml:space="preserve">List of </w:t>
            </w:r>
            <w:r w:rsidR="00A93A16">
              <w:rPr>
                <w:rFonts w:cs="Arial"/>
                <w:color w:val="000000"/>
                <w:sz w:val="18"/>
                <w:szCs w:val="18"/>
              </w:rPr>
              <w:t>Security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Officers registered under the Bidder </w:t>
            </w:r>
            <w:r w:rsidR="00A93A16">
              <w:rPr>
                <w:rFonts w:cs="Arial"/>
                <w:color w:val="000000"/>
                <w:sz w:val="18"/>
                <w:szCs w:val="18"/>
              </w:rPr>
              <w:t xml:space="preserve">and/or the subcontractor’s 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name at PSIRA </w:t>
            </w:r>
            <w:r w:rsidRPr="00595C71">
              <w:rPr>
                <w:rFonts w:cs="Arial"/>
                <w:color w:val="000000"/>
                <w:sz w:val="18"/>
                <w:szCs w:val="18"/>
              </w:rPr>
              <w:t xml:space="preserve">in the </w:t>
            </w:r>
            <w:r w:rsidR="00110720" w:rsidRPr="00595C71">
              <w:rPr>
                <w:rFonts w:cs="Arial"/>
                <w:color w:val="000000"/>
                <w:sz w:val="18"/>
                <w:szCs w:val="18"/>
              </w:rPr>
              <w:t xml:space="preserve">region </w:t>
            </w:r>
            <w:r w:rsidRPr="00595C71">
              <w:rPr>
                <w:rFonts w:cs="Arial"/>
                <w:color w:val="000000"/>
                <w:sz w:val="18"/>
                <w:szCs w:val="18"/>
              </w:rPr>
              <w:t>tendered for</w:t>
            </w:r>
            <w:r w:rsidR="00A93A16"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</w:tr>
      <w:tr w:rsidR="001575CF" w:rsidRPr="007E3D13" w14:paraId="13044F2A" w14:textId="77777777" w:rsidTr="00AD7C35">
        <w:trPr>
          <w:trHeight w:val="240"/>
        </w:trPr>
        <w:tc>
          <w:tcPr>
            <w:tcW w:w="10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327822" w14:textId="77777777" w:rsidR="001575CF" w:rsidRPr="00F07058" w:rsidRDefault="001575CF" w:rsidP="001575CF">
            <w:pPr>
              <w:widowControl w:val="0"/>
              <w:spacing w:line="276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67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378326" w14:textId="77777777" w:rsidR="001575CF" w:rsidRPr="00F07058" w:rsidRDefault="001575CF">
            <w:pPr>
              <w:widowControl w:val="0"/>
              <w:numPr>
                <w:ilvl w:val="0"/>
                <w:numId w:val="2"/>
              </w:numPr>
              <w:spacing w:line="276" w:lineRule="auto"/>
              <w:ind w:left="462" w:hanging="462"/>
              <w:jc w:val="both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AF17A1" w14:textId="77777777" w:rsidR="001575CF" w:rsidRPr="008A6AE6" w:rsidRDefault="001575CF">
            <w:pPr>
              <w:widowControl w:val="0"/>
              <w:spacing w:line="276" w:lineRule="auto"/>
              <w:jc w:val="center"/>
              <w:rPr>
                <w:rFonts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2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2A58A0" w14:textId="1A4C0857" w:rsidR="001575CF" w:rsidRPr="00F07058" w:rsidRDefault="001575CF" w:rsidP="001575CF">
            <w:pPr>
              <w:widowControl w:val="0"/>
              <w:spacing w:line="276" w:lineRule="auto"/>
              <w:jc w:val="both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1</w:t>
            </w:r>
            <w:r w:rsidRPr="00F07058">
              <w:rPr>
                <w:rFonts w:cs="Arial"/>
                <w:color w:val="000000"/>
                <w:sz w:val="18"/>
                <w:szCs w:val="18"/>
              </w:rPr>
              <w:t>50 or more Security Officers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in the </w:t>
            </w:r>
            <w:r w:rsidR="00110720">
              <w:rPr>
                <w:rFonts w:cs="Arial"/>
                <w:color w:val="000000"/>
                <w:sz w:val="18"/>
                <w:szCs w:val="18"/>
              </w:rPr>
              <w:t>region</w:t>
            </w:r>
            <w:r w:rsidR="00110720" w:rsidRPr="00110720">
              <w:rPr>
                <w:rFonts w:cs="Arial"/>
                <w:color w:val="000000"/>
                <w:sz w:val="18"/>
                <w:szCs w:val="18"/>
              </w:rPr>
              <w:t xml:space="preserve"> tendered for</w:t>
            </w:r>
            <w:r w:rsidR="001600B8"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96C380" w14:textId="77777777" w:rsidR="001575CF" w:rsidRPr="00F07058" w:rsidRDefault="001575CF" w:rsidP="00AD7C35">
            <w:pPr>
              <w:widowControl w:val="0"/>
              <w:spacing w:line="276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89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D6C304" w14:textId="77777777" w:rsidR="001575CF" w:rsidRDefault="001575CF" w:rsidP="008A6AE6">
            <w:pPr>
              <w:widowControl w:val="0"/>
              <w:spacing w:line="276" w:lineRule="auto"/>
              <w:jc w:val="both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1575CF" w:rsidRPr="007E3D13" w14:paraId="697C8DFF" w14:textId="77777777" w:rsidTr="00AD7C35">
        <w:trPr>
          <w:trHeight w:val="647"/>
        </w:trPr>
        <w:tc>
          <w:tcPr>
            <w:tcW w:w="10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75DC883" w14:textId="77777777" w:rsidR="001575CF" w:rsidRPr="00F07058" w:rsidRDefault="001575CF" w:rsidP="001575CF">
            <w:pPr>
              <w:widowControl w:val="0"/>
              <w:spacing w:line="276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lastRenderedPageBreak/>
              <w:t>2.3</w:t>
            </w:r>
          </w:p>
        </w:tc>
        <w:tc>
          <w:tcPr>
            <w:tcW w:w="567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53E223A7" w14:textId="77777777" w:rsidR="001575CF" w:rsidRPr="00F07058" w:rsidRDefault="001575CF" w:rsidP="00AD7C35">
            <w:pPr>
              <w:jc w:val="both"/>
              <w:rPr>
                <w:rFonts w:cs="Arial"/>
                <w:color w:val="000000"/>
                <w:sz w:val="18"/>
                <w:szCs w:val="18"/>
              </w:rPr>
            </w:pPr>
          </w:p>
          <w:p w14:paraId="0AD4CD5C" w14:textId="37F20BBF" w:rsidR="001575CF" w:rsidRPr="00F07058" w:rsidRDefault="002131B5" w:rsidP="004E5E67">
            <w:pPr>
              <w:widowControl w:val="0"/>
              <w:spacing w:line="276" w:lineRule="auto"/>
              <w:jc w:val="both"/>
              <w:rPr>
                <w:rFonts w:cs="Arial"/>
                <w:color w:val="000000"/>
                <w:sz w:val="18"/>
                <w:szCs w:val="18"/>
              </w:rPr>
            </w:pPr>
            <w:r w:rsidRPr="002131B5">
              <w:rPr>
                <w:rFonts w:cs="Arial"/>
                <w:color w:val="000000"/>
                <w:sz w:val="18"/>
                <w:szCs w:val="18"/>
              </w:rPr>
              <w:t>The Bidder must indicate how</w:t>
            </w:r>
            <w:r w:rsidR="001575CF" w:rsidRPr="00F07058">
              <w:rPr>
                <w:rFonts w:cs="Arial"/>
                <w:color w:val="000000"/>
                <w:sz w:val="18"/>
                <w:szCs w:val="18"/>
              </w:rPr>
              <w:t xml:space="preserve"> many </w:t>
            </w:r>
            <w:r w:rsidR="001575CF" w:rsidRPr="003A382E">
              <w:rPr>
                <w:rFonts w:cs="Arial"/>
                <w:color w:val="000000"/>
                <w:sz w:val="18"/>
                <w:szCs w:val="18"/>
              </w:rPr>
              <w:t xml:space="preserve">vehicles </w:t>
            </w:r>
            <w:r w:rsidR="001575CF" w:rsidRPr="00F07058">
              <w:rPr>
                <w:rFonts w:cs="Arial"/>
                <w:color w:val="000000"/>
                <w:sz w:val="18"/>
                <w:szCs w:val="18"/>
              </w:rPr>
              <w:t xml:space="preserve">are available for the execution of the </w:t>
            </w:r>
            <w:r w:rsidRPr="00F07058">
              <w:rPr>
                <w:rFonts w:cs="Arial"/>
                <w:color w:val="000000"/>
                <w:sz w:val="18"/>
                <w:szCs w:val="18"/>
              </w:rPr>
              <w:t>Service</w:t>
            </w:r>
            <w:r>
              <w:rPr>
                <w:rFonts w:cs="Arial"/>
                <w:color w:val="000000"/>
                <w:sz w:val="18"/>
                <w:szCs w:val="18"/>
              </w:rPr>
              <w:t>s</w:t>
            </w:r>
            <w:r w:rsidR="001575CF" w:rsidRPr="00F07058">
              <w:rPr>
                <w:rFonts w:cs="Arial"/>
                <w:color w:val="000000"/>
                <w:sz w:val="18"/>
                <w:szCs w:val="18"/>
              </w:rPr>
              <w:t xml:space="preserve"> in the region the </w:t>
            </w:r>
            <w:r w:rsidR="00DC183D">
              <w:rPr>
                <w:rFonts w:cs="Arial"/>
                <w:color w:val="000000"/>
                <w:sz w:val="18"/>
                <w:szCs w:val="18"/>
              </w:rPr>
              <w:t>Bidder</w:t>
            </w:r>
            <w:r w:rsidR="001575CF" w:rsidRPr="00F07058">
              <w:rPr>
                <w:rFonts w:cs="Arial"/>
                <w:color w:val="000000"/>
                <w:sz w:val="18"/>
                <w:szCs w:val="18"/>
              </w:rPr>
              <w:t xml:space="preserve"> intends to deliver the Services</w:t>
            </w:r>
            <w:r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D7039D" w14:textId="77777777" w:rsidR="001575CF" w:rsidRPr="00AD7C35" w:rsidRDefault="001575CF" w:rsidP="004E5E67">
            <w:pPr>
              <w:widowControl w:val="0"/>
              <w:spacing w:line="276" w:lineRule="auto"/>
              <w:jc w:val="center"/>
              <w:rPr>
                <w:rFonts w:cs="Arial"/>
                <w:b/>
                <w:color w:val="000000"/>
                <w:sz w:val="18"/>
                <w:szCs w:val="18"/>
              </w:rPr>
            </w:pPr>
            <w:r w:rsidRPr="00AD7C35">
              <w:rPr>
                <w:rFonts w:cs="Arial"/>
                <w:b/>
                <w:color w:val="000000"/>
                <w:sz w:val="18"/>
                <w:szCs w:val="18"/>
              </w:rPr>
              <w:t>5</w:t>
            </w:r>
          </w:p>
        </w:tc>
        <w:tc>
          <w:tcPr>
            <w:tcW w:w="2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B2528F" w14:textId="5BB973BB" w:rsidR="001575CF" w:rsidRPr="00F07058" w:rsidRDefault="001575CF" w:rsidP="004A41E9">
            <w:pPr>
              <w:widowControl w:val="0"/>
              <w:spacing w:line="276" w:lineRule="auto"/>
              <w:jc w:val="both"/>
              <w:rPr>
                <w:rFonts w:cs="Arial"/>
                <w:color w:val="000000"/>
                <w:sz w:val="18"/>
                <w:szCs w:val="18"/>
              </w:rPr>
            </w:pPr>
            <w:r w:rsidRPr="00F07058">
              <w:rPr>
                <w:rFonts w:cs="Arial"/>
                <w:color w:val="000000"/>
                <w:sz w:val="18"/>
                <w:szCs w:val="18"/>
              </w:rPr>
              <w:t>Less than 10 vehicles</w:t>
            </w:r>
            <w:r w:rsidRPr="002A046A">
              <w:rPr>
                <w:rFonts w:cs="Arial"/>
                <w:color w:val="000000"/>
                <w:sz w:val="18"/>
                <w:szCs w:val="18"/>
              </w:rPr>
              <w:t xml:space="preserve"> in the region</w:t>
            </w:r>
            <w:r w:rsidR="00110720" w:rsidRPr="00110720">
              <w:rPr>
                <w:rFonts w:cs="Arial"/>
                <w:color w:val="000000"/>
                <w:sz w:val="18"/>
                <w:szCs w:val="18"/>
              </w:rPr>
              <w:t xml:space="preserve"> tendered for</w:t>
            </w:r>
            <w:r w:rsidR="001600B8"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161E74" w14:textId="77777777" w:rsidR="001575CF" w:rsidRPr="00F07058" w:rsidRDefault="001575CF" w:rsidP="00AD7C35">
            <w:pPr>
              <w:widowControl w:val="0"/>
              <w:spacing w:line="276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F07058">
              <w:rPr>
                <w:rFonts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189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3A9B0E33" w14:textId="28AF31C8" w:rsidR="001575CF" w:rsidRPr="00F07058" w:rsidRDefault="001575CF" w:rsidP="00AD7C35">
            <w:pPr>
              <w:widowControl w:val="0"/>
              <w:spacing w:line="276" w:lineRule="auto"/>
              <w:jc w:val="both"/>
              <w:rPr>
                <w:rFonts w:cs="Arial"/>
                <w:color w:val="000000"/>
                <w:sz w:val="18"/>
                <w:szCs w:val="18"/>
              </w:rPr>
            </w:pPr>
            <w:r w:rsidRPr="00595C71">
              <w:rPr>
                <w:rFonts w:cs="Arial"/>
                <w:color w:val="000000"/>
                <w:sz w:val="18"/>
                <w:szCs w:val="18"/>
              </w:rPr>
              <w:t xml:space="preserve">List of </w:t>
            </w:r>
            <w:r>
              <w:rPr>
                <w:rFonts w:cs="Arial"/>
                <w:color w:val="000000"/>
                <w:sz w:val="18"/>
                <w:szCs w:val="18"/>
              </w:rPr>
              <w:t>vehicles</w:t>
            </w:r>
            <w:r w:rsidRPr="00595C71"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z w:val="18"/>
                <w:szCs w:val="18"/>
              </w:rPr>
              <w:t>belonging to the Bidder</w:t>
            </w:r>
            <w:r w:rsidR="00110720"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 w:rsidR="002131B5">
              <w:rPr>
                <w:rFonts w:cs="Arial"/>
                <w:color w:val="000000"/>
                <w:sz w:val="18"/>
                <w:szCs w:val="18"/>
              </w:rPr>
              <w:t>and</w:t>
            </w:r>
            <w:r w:rsidR="00110720">
              <w:rPr>
                <w:rFonts w:cs="Arial"/>
                <w:color w:val="000000"/>
                <w:sz w:val="18"/>
                <w:szCs w:val="18"/>
              </w:rPr>
              <w:t>/</w:t>
            </w:r>
            <w:r w:rsidR="002131B5">
              <w:rPr>
                <w:rFonts w:cs="Arial"/>
                <w:color w:val="000000"/>
                <w:sz w:val="18"/>
                <w:szCs w:val="18"/>
              </w:rPr>
              <w:t>or</w:t>
            </w:r>
            <w:r w:rsidR="00110720"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 w:rsidR="00284D9E">
              <w:rPr>
                <w:rFonts w:cs="Arial"/>
                <w:color w:val="000000"/>
                <w:sz w:val="18"/>
                <w:szCs w:val="18"/>
              </w:rPr>
              <w:t>subcontractor</w:t>
            </w:r>
            <w:r w:rsidRPr="00595C71">
              <w:rPr>
                <w:rFonts w:cs="Arial"/>
                <w:color w:val="000000"/>
                <w:sz w:val="18"/>
                <w:szCs w:val="18"/>
              </w:rPr>
              <w:t xml:space="preserve"> in the </w:t>
            </w:r>
            <w:r w:rsidR="00110720" w:rsidRPr="00595C71">
              <w:rPr>
                <w:rFonts w:cs="Arial"/>
                <w:color w:val="000000"/>
                <w:sz w:val="18"/>
                <w:szCs w:val="18"/>
              </w:rPr>
              <w:t>region</w:t>
            </w:r>
            <w:r w:rsidRPr="00595C71">
              <w:rPr>
                <w:rFonts w:cs="Arial"/>
                <w:color w:val="000000"/>
                <w:sz w:val="18"/>
                <w:szCs w:val="18"/>
              </w:rPr>
              <w:t xml:space="preserve"> tendered for</w:t>
            </w:r>
            <w:r w:rsidR="002131B5"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</w:tr>
      <w:tr w:rsidR="001575CF" w:rsidRPr="007E3D13" w14:paraId="426916BA" w14:textId="77777777" w:rsidTr="00AD7C35">
        <w:trPr>
          <w:trHeight w:val="571"/>
        </w:trPr>
        <w:tc>
          <w:tcPr>
            <w:tcW w:w="10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6056D0" w14:textId="77777777" w:rsidR="001575CF" w:rsidRPr="00F07058" w:rsidRDefault="001575CF" w:rsidP="001575CF">
            <w:pPr>
              <w:widowControl w:val="0"/>
              <w:spacing w:line="276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67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EF47FA" w14:textId="77777777" w:rsidR="001575CF" w:rsidRPr="00F07058" w:rsidRDefault="001575CF" w:rsidP="008A6AE6">
            <w:pPr>
              <w:jc w:val="both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A8F033" w14:textId="77777777" w:rsidR="001575CF" w:rsidRPr="008A6AE6" w:rsidRDefault="001575CF">
            <w:pPr>
              <w:widowControl w:val="0"/>
              <w:spacing w:line="276" w:lineRule="auto"/>
              <w:jc w:val="center"/>
              <w:rPr>
                <w:rFonts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2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13BF14" w14:textId="77777777" w:rsidR="001575CF" w:rsidRPr="00F07058" w:rsidRDefault="001575CF" w:rsidP="001575CF">
            <w:pPr>
              <w:widowControl w:val="0"/>
              <w:spacing w:line="276" w:lineRule="auto"/>
              <w:jc w:val="both"/>
              <w:rPr>
                <w:rFonts w:cs="Arial"/>
                <w:color w:val="000000"/>
                <w:sz w:val="18"/>
                <w:szCs w:val="18"/>
              </w:rPr>
            </w:pPr>
            <w:r w:rsidRPr="00F07058">
              <w:rPr>
                <w:rFonts w:cs="Arial"/>
                <w:color w:val="000000"/>
                <w:sz w:val="18"/>
                <w:szCs w:val="18"/>
              </w:rPr>
              <w:tab/>
            </w:r>
          </w:p>
          <w:p w14:paraId="2E9620FB" w14:textId="0F280D37" w:rsidR="001575CF" w:rsidRPr="00F07058" w:rsidRDefault="001575CF" w:rsidP="001575CF">
            <w:pPr>
              <w:widowControl w:val="0"/>
              <w:spacing w:line="276" w:lineRule="auto"/>
              <w:jc w:val="both"/>
              <w:rPr>
                <w:rFonts w:cs="Arial"/>
                <w:color w:val="000000"/>
                <w:sz w:val="18"/>
                <w:szCs w:val="18"/>
              </w:rPr>
            </w:pPr>
            <w:r w:rsidRPr="00F07058">
              <w:rPr>
                <w:rFonts w:cs="Arial"/>
                <w:color w:val="000000"/>
                <w:sz w:val="18"/>
                <w:szCs w:val="18"/>
              </w:rPr>
              <w:t>10 or more vehicles</w:t>
            </w:r>
            <w:r w:rsidRPr="002A046A">
              <w:rPr>
                <w:rFonts w:cs="Arial"/>
                <w:color w:val="000000"/>
                <w:sz w:val="18"/>
                <w:szCs w:val="18"/>
              </w:rPr>
              <w:t xml:space="preserve"> in the region</w:t>
            </w:r>
            <w:r w:rsidR="00110720" w:rsidRPr="00110720">
              <w:rPr>
                <w:rFonts w:cs="Arial"/>
                <w:color w:val="000000"/>
                <w:sz w:val="18"/>
                <w:szCs w:val="18"/>
              </w:rPr>
              <w:t xml:space="preserve"> tendered for</w:t>
            </w:r>
            <w:r w:rsidR="001600B8"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7C184C" w14:textId="77777777" w:rsidR="001575CF" w:rsidRPr="00F07058" w:rsidRDefault="001575CF" w:rsidP="00AD7C35">
            <w:pPr>
              <w:widowControl w:val="0"/>
              <w:spacing w:line="276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189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BCF0A7" w14:textId="77777777" w:rsidR="001575CF" w:rsidRDefault="001575CF" w:rsidP="008A6AE6">
            <w:pPr>
              <w:widowControl w:val="0"/>
              <w:spacing w:line="276" w:lineRule="auto"/>
              <w:jc w:val="both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1575CF" w:rsidRPr="007E3D13" w14:paraId="3FF4F7CF" w14:textId="77777777" w:rsidTr="00AD7C35">
        <w:trPr>
          <w:trHeight w:val="1301"/>
        </w:trPr>
        <w:tc>
          <w:tcPr>
            <w:tcW w:w="10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499B22A" w14:textId="77777777" w:rsidR="001575CF" w:rsidRPr="00F07058" w:rsidRDefault="001575CF" w:rsidP="001575CF">
            <w:pPr>
              <w:widowControl w:val="0"/>
              <w:spacing w:line="276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2.4</w:t>
            </w:r>
          </w:p>
        </w:tc>
        <w:tc>
          <w:tcPr>
            <w:tcW w:w="567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7C041EF7" w14:textId="651D1B66" w:rsidR="001575CF" w:rsidRPr="00F07058" w:rsidRDefault="002131B5" w:rsidP="00AD7C35">
            <w:pPr>
              <w:jc w:val="both"/>
              <w:rPr>
                <w:rFonts w:cs="Arial"/>
                <w:color w:val="000000"/>
                <w:sz w:val="18"/>
                <w:szCs w:val="18"/>
              </w:rPr>
            </w:pPr>
            <w:r w:rsidRPr="00F07058">
              <w:rPr>
                <w:rFonts w:cs="Arial"/>
                <w:color w:val="000000"/>
                <w:sz w:val="18"/>
                <w:szCs w:val="18"/>
              </w:rPr>
              <w:t>The</w:t>
            </w:r>
            <w:r w:rsidR="001575CF" w:rsidRPr="00F07058"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 w:rsidR="00DC183D">
              <w:rPr>
                <w:rFonts w:cs="Arial"/>
                <w:color w:val="000000"/>
                <w:sz w:val="18"/>
                <w:szCs w:val="18"/>
              </w:rPr>
              <w:t>Bidder</w:t>
            </w:r>
            <w:r w:rsidR="001575CF" w:rsidRPr="00F07058"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must </w:t>
            </w:r>
            <w:r w:rsidR="001575CF" w:rsidRPr="00F07058">
              <w:rPr>
                <w:rFonts w:cs="Arial"/>
                <w:color w:val="000000"/>
                <w:sz w:val="18"/>
                <w:szCs w:val="18"/>
              </w:rPr>
              <w:t>detail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 w:rsidR="001575CF" w:rsidRPr="00F07058">
              <w:rPr>
                <w:rFonts w:cs="Arial"/>
                <w:color w:val="000000"/>
                <w:sz w:val="18"/>
                <w:szCs w:val="18"/>
              </w:rPr>
              <w:t xml:space="preserve">the </w:t>
            </w:r>
            <w:r w:rsidR="001575CF" w:rsidRPr="003A382E">
              <w:rPr>
                <w:rFonts w:cs="Arial"/>
                <w:color w:val="000000"/>
                <w:sz w:val="18"/>
                <w:szCs w:val="18"/>
              </w:rPr>
              <w:t>communication tools</w:t>
            </w:r>
            <w:r w:rsidR="001575CF" w:rsidRPr="00F07058">
              <w:rPr>
                <w:rFonts w:cs="Arial"/>
                <w:color w:val="000000"/>
                <w:sz w:val="18"/>
                <w:szCs w:val="18"/>
              </w:rPr>
              <w:t xml:space="preserve"> that demonstrate its ability to communicate with SARS, its employees and its</w:t>
            </w:r>
            <w:r w:rsidR="001575CF">
              <w:rPr>
                <w:rFonts w:cs="Arial"/>
                <w:color w:val="000000"/>
                <w:sz w:val="18"/>
                <w:szCs w:val="18"/>
              </w:rPr>
              <w:t xml:space="preserve"> office</w:t>
            </w:r>
            <w:r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24EA75" w14:textId="77777777" w:rsidR="001575CF" w:rsidRPr="00AD7C35" w:rsidRDefault="001575CF" w:rsidP="004E5E67">
            <w:pPr>
              <w:widowControl w:val="0"/>
              <w:spacing w:line="276" w:lineRule="auto"/>
              <w:jc w:val="center"/>
              <w:rPr>
                <w:rFonts w:cs="Arial"/>
                <w:b/>
                <w:color w:val="000000"/>
                <w:sz w:val="18"/>
                <w:szCs w:val="18"/>
              </w:rPr>
            </w:pPr>
            <w:r w:rsidRPr="00AD7C35">
              <w:rPr>
                <w:rFonts w:cs="Arial"/>
                <w:b/>
                <w:color w:val="000000"/>
                <w:sz w:val="18"/>
                <w:szCs w:val="18"/>
              </w:rPr>
              <w:t>10</w:t>
            </w:r>
          </w:p>
        </w:tc>
        <w:tc>
          <w:tcPr>
            <w:tcW w:w="2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4366BE" w14:textId="28B0FC63" w:rsidR="001575CF" w:rsidRPr="00F07058" w:rsidRDefault="002131B5" w:rsidP="001575CF">
            <w:pPr>
              <w:widowControl w:val="0"/>
              <w:spacing w:line="276" w:lineRule="auto"/>
              <w:jc w:val="both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Description</w:t>
            </w:r>
            <w:r w:rsidRPr="00F07058"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 w:rsidR="001575CF" w:rsidRPr="00F07058">
              <w:rPr>
                <w:rFonts w:cs="Arial"/>
                <w:color w:val="000000"/>
                <w:sz w:val="18"/>
                <w:szCs w:val="18"/>
              </w:rPr>
              <w:t>that details the communication tools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utilised</w:t>
            </w:r>
            <w:r w:rsidR="001575CF" w:rsidRPr="00F07058">
              <w:rPr>
                <w:rFonts w:cs="Arial"/>
                <w:color w:val="000000"/>
                <w:sz w:val="18"/>
                <w:szCs w:val="18"/>
              </w:rPr>
              <w:t xml:space="preserve"> not submitted</w:t>
            </w:r>
            <w:r w:rsidR="00110720"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C95181" w14:textId="77777777" w:rsidR="001575CF" w:rsidRPr="00F07058" w:rsidRDefault="001575CF" w:rsidP="00AD7C35">
            <w:pPr>
              <w:widowControl w:val="0"/>
              <w:spacing w:line="276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F07058">
              <w:rPr>
                <w:rFonts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189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7E488A77" w14:textId="4817B976" w:rsidR="001575CF" w:rsidRPr="00F07058" w:rsidRDefault="001575CF" w:rsidP="00AD7C35">
            <w:pPr>
              <w:widowControl w:val="0"/>
              <w:spacing w:line="276" w:lineRule="auto"/>
              <w:jc w:val="both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 xml:space="preserve">A </w:t>
            </w:r>
            <w:r w:rsidR="002131B5">
              <w:rPr>
                <w:rFonts w:cs="Arial"/>
                <w:color w:val="000000"/>
                <w:sz w:val="18"/>
                <w:szCs w:val="18"/>
              </w:rPr>
              <w:t xml:space="preserve">detailed description of </w:t>
            </w:r>
            <w:r>
              <w:rPr>
                <w:rFonts w:cs="Arial"/>
                <w:color w:val="000000"/>
                <w:sz w:val="18"/>
                <w:szCs w:val="18"/>
              </w:rPr>
              <w:t>the available</w:t>
            </w:r>
            <w:r w:rsidRPr="001571AE">
              <w:rPr>
                <w:rFonts w:cs="Arial"/>
                <w:color w:val="000000"/>
                <w:sz w:val="18"/>
                <w:szCs w:val="18"/>
              </w:rPr>
              <w:t xml:space="preserve"> communication tools</w:t>
            </w:r>
            <w:r w:rsidR="002131B5">
              <w:rPr>
                <w:rFonts w:cs="Arial"/>
                <w:color w:val="000000"/>
                <w:sz w:val="18"/>
                <w:szCs w:val="18"/>
              </w:rPr>
              <w:t xml:space="preserve"> utilised by the Bidder in order to demonstrate its ability to communicate with SARS, its employees and its office</w:t>
            </w:r>
            <w:r w:rsidR="00110720">
              <w:rPr>
                <w:rFonts w:cs="Arial"/>
                <w:color w:val="000000"/>
                <w:sz w:val="18"/>
                <w:szCs w:val="18"/>
              </w:rPr>
              <w:t>.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1575CF" w:rsidRPr="007E3D13" w14:paraId="27321B21" w14:textId="77777777" w:rsidTr="00AD7C35">
        <w:trPr>
          <w:trHeight w:val="1224"/>
        </w:trPr>
        <w:tc>
          <w:tcPr>
            <w:tcW w:w="10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D38E5A" w14:textId="77777777" w:rsidR="001575CF" w:rsidRPr="00F07058" w:rsidRDefault="001575CF" w:rsidP="001575CF">
            <w:pPr>
              <w:widowControl w:val="0"/>
              <w:spacing w:line="276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67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08D77A" w14:textId="77777777" w:rsidR="001575CF" w:rsidRPr="00F07058" w:rsidRDefault="001575CF" w:rsidP="001575CF">
            <w:pPr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3F59C9" w14:textId="77777777" w:rsidR="001575CF" w:rsidRPr="008A6AE6" w:rsidRDefault="001575CF">
            <w:pPr>
              <w:widowControl w:val="0"/>
              <w:spacing w:line="276" w:lineRule="auto"/>
              <w:jc w:val="center"/>
              <w:rPr>
                <w:rFonts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2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642E2B" w14:textId="5132B550" w:rsidR="001575CF" w:rsidRPr="00F07058" w:rsidRDefault="001575CF">
            <w:pPr>
              <w:widowControl w:val="0"/>
              <w:spacing w:line="276" w:lineRule="auto"/>
              <w:jc w:val="both"/>
              <w:rPr>
                <w:rFonts w:cs="Arial"/>
                <w:color w:val="000000"/>
                <w:sz w:val="18"/>
                <w:szCs w:val="18"/>
              </w:rPr>
            </w:pPr>
            <w:r w:rsidRPr="00F07058">
              <w:rPr>
                <w:rFonts w:cs="Arial"/>
                <w:color w:val="000000"/>
                <w:sz w:val="18"/>
                <w:szCs w:val="18"/>
              </w:rPr>
              <w:t xml:space="preserve">Submitted a </w:t>
            </w:r>
            <w:r w:rsidR="002131B5">
              <w:rPr>
                <w:rFonts w:cs="Arial"/>
                <w:color w:val="000000"/>
                <w:sz w:val="18"/>
                <w:szCs w:val="18"/>
              </w:rPr>
              <w:t>description</w:t>
            </w:r>
            <w:r w:rsidR="002131B5" w:rsidRPr="00F07058"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 w:rsidRPr="00F07058">
              <w:rPr>
                <w:rFonts w:cs="Arial"/>
                <w:color w:val="000000"/>
                <w:sz w:val="18"/>
                <w:szCs w:val="18"/>
              </w:rPr>
              <w:t>that details the communication tools</w:t>
            </w:r>
            <w:r w:rsidR="00110720">
              <w:rPr>
                <w:rFonts w:cs="Arial"/>
                <w:color w:val="000000"/>
                <w:sz w:val="18"/>
                <w:szCs w:val="18"/>
              </w:rPr>
              <w:t>.</w:t>
            </w:r>
            <w:r w:rsidRPr="00F07058">
              <w:rPr>
                <w:rFonts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4BD94D" w14:textId="77777777" w:rsidR="001575CF" w:rsidRPr="00F07058" w:rsidRDefault="001575CF" w:rsidP="00AD7C35">
            <w:pPr>
              <w:widowControl w:val="0"/>
              <w:spacing w:line="276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89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DC22DB" w14:textId="77777777" w:rsidR="001575CF" w:rsidRDefault="001575CF" w:rsidP="008A6AE6">
            <w:pPr>
              <w:widowControl w:val="0"/>
              <w:spacing w:line="276" w:lineRule="auto"/>
              <w:jc w:val="both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1575CF" w:rsidRPr="007E3D13" w14:paraId="180F9CF5" w14:textId="77777777" w:rsidTr="00AD7C35">
        <w:trPr>
          <w:trHeight w:val="301"/>
        </w:trPr>
        <w:tc>
          <w:tcPr>
            <w:tcW w:w="10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  <w:hideMark/>
          </w:tcPr>
          <w:p w14:paraId="48478639" w14:textId="77777777" w:rsidR="001575CF" w:rsidRPr="007E3D13" w:rsidRDefault="001575CF" w:rsidP="001575CF">
            <w:pPr>
              <w:widowControl w:val="0"/>
              <w:spacing w:line="276" w:lineRule="auto"/>
              <w:jc w:val="center"/>
              <w:rPr>
                <w:rFonts w:cs="Arial"/>
                <w:b/>
                <w:bCs/>
                <w:color w:val="000000"/>
              </w:rPr>
            </w:pPr>
            <w:r w:rsidRPr="007E3D13">
              <w:rPr>
                <w:rFonts w:cs="Arial"/>
                <w:b/>
                <w:bCs/>
                <w:color w:val="000000"/>
              </w:rPr>
              <w:t>3.0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7AF50C40" w14:textId="77777777" w:rsidR="001575CF" w:rsidRPr="007E3D13" w:rsidRDefault="001575CF" w:rsidP="001575CF">
            <w:pPr>
              <w:widowControl w:val="0"/>
              <w:spacing w:line="276" w:lineRule="auto"/>
              <w:jc w:val="both"/>
              <w:rPr>
                <w:rFonts w:cs="Arial"/>
                <w:b/>
                <w:bCs/>
                <w:color w:val="000000"/>
              </w:rPr>
            </w:pPr>
            <w:r w:rsidRPr="007E3D13">
              <w:rPr>
                <w:rFonts w:cs="Arial"/>
                <w:b/>
                <w:bCs/>
                <w:color w:val="000000"/>
              </w:rPr>
              <w:t>Services’ Offering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  <w:hideMark/>
          </w:tcPr>
          <w:p w14:paraId="25E3E166" w14:textId="77777777" w:rsidR="001575CF" w:rsidRPr="002C1051" w:rsidRDefault="001575CF" w:rsidP="004E5E67">
            <w:pPr>
              <w:widowControl w:val="0"/>
              <w:spacing w:line="276" w:lineRule="auto"/>
              <w:jc w:val="center"/>
              <w:rPr>
                <w:rFonts w:cs="Arial"/>
                <w:b/>
                <w:bCs/>
                <w:color w:val="000000"/>
              </w:rPr>
            </w:pPr>
            <w:r w:rsidRPr="002C1051">
              <w:rPr>
                <w:rFonts w:cs="Arial"/>
                <w:b/>
                <w:bCs/>
                <w:color w:val="000000"/>
              </w:rPr>
              <w:t>50</w:t>
            </w:r>
          </w:p>
        </w:tc>
        <w:tc>
          <w:tcPr>
            <w:tcW w:w="2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324ABA22" w14:textId="77777777" w:rsidR="001575CF" w:rsidRPr="007E3D13" w:rsidRDefault="001575CF" w:rsidP="001575CF">
            <w:pPr>
              <w:widowControl w:val="0"/>
              <w:spacing w:line="276" w:lineRule="auto"/>
              <w:jc w:val="both"/>
              <w:rPr>
                <w:rFonts w:cs="Arial"/>
                <w:b/>
                <w:bCs/>
                <w:color w:val="00000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7D3670A" w14:textId="77777777" w:rsidR="001575CF" w:rsidRPr="007E3D13" w:rsidRDefault="001575CF" w:rsidP="004E5E67">
            <w:pPr>
              <w:widowControl w:val="0"/>
              <w:spacing w:line="276" w:lineRule="auto"/>
              <w:jc w:val="center"/>
              <w:rPr>
                <w:rFonts w:cs="Arial"/>
                <w:b/>
                <w:bCs/>
                <w:color w:val="00000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424EFC9" w14:textId="77777777" w:rsidR="001575CF" w:rsidRPr="007E3D13" w:rsidRDefault="001575CF" w:rsidP="00AD7C35">
            <w:pPr>
              <w:widowControl w:val="0"/>
              <w:spacing w:line="276" w:lineRule="auto"/>
              <w:jc w:val="both"/>
              <w:rPr>
                <w:rFonts w:cs="Arial"/>
                <w:b/>
                <w:bCs/>
                <w:color w:val="000000"/>
              </w:rPr>
            </w:pPr>
          </w:p>
        </w:tc>
      </w:tr>
      <w:tr w:rsidR="001575CF" w:rsidRPr="00F07058" w14:paraId="4CC6A510" w14:textId="77777777" w:rsidTr="00AD7C35">
        <w:trPr>
          <w:trHeight w:val="263"/>
        </w:trPr>
        <w:tc>
          <w:tcPr>
            <w:tcW w:w="10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05198E" w14:textId="77777777" w:rsidR="001575CF" w:rsidRPr="00F07058" w:rsidRDefault="001575CF" w:rsidP="001575CF">
            <w:pPr>
              <w:widowControl w:val="0"/>
              <w:spacing w:line="276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F07058">
              <w:rPr>
                <w:rFonts w:cs="Arial"/>
                <w:color w:val="000000"/>
                <w:sz w:val="18"/>
                <w:szCs w:val="18"/>
              </w:rPr>
              <w:t>3.1</w:t>
            </w:r>
          </w:p>
        </w:tc>
        <w:tc>
          <w:tcPr>
            <w:tcW w:w="567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74709C50" w14:textId="038E12AB" w:rsidR="001575CF" w:rsidRPr="00F07058" w:rsidRDefault="002131B5" w:rsidP="004E5E67">
            <w:pPr>
              <w:pStyle w:val="ListParagraph"/>
              <w:widowControl w:val="0"/>
              <w:tabs>
                <w:tab w:val="left" w:pos="1029"/>
              </w:tabs>
              <w:spacing w:line="276" w:lineRule="auto"/>
              <w:ind w:left="0"/>
              <w:contextualSpacing w:val="0"/>
              <w:jc w:val="both"/>
              <w:rPr>
                <w:rFonts w:cs="Arial"/>
                <w:sz w:val="18"/>
                <w:szCs w:val="18"/>
                <w:lang w:eastAsia="en-US"/>
              </w:rPr>
            </w:pPr>
            <w:r w:rsidRPr="00F07058">
              <w:rPr>
                <w:rFonts w:cs="Arial"/>
                <w:color w:val="000000"/>
                <w:sz w:val="18"/>
                <w:szCs w:val="18"/>
              </w:rPr>
              <w:t>The</w:t>
            </w:r>
            <w:r w:rsidR="001575CF" w:rsidRPr="00F07058"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Bidder must submit a </w:t>
            </w:r>
            <w:r w:rsidR="001575CF" w:rsidRPr="00F07058">
              <w:rPr>
                <w:rFonts w:cs="Arial"/>
                <w:color w:val="000000"/>
                <w:sz w:val="18"/>
                <w:szCs w:val="18"/>
              </w:rPr>
              <w:t xml:space="preserve">service </w:t>
            </w:r>
            <w:r w:rsidR="001575CF" w:rsidRPr="003A382E">
              <w:rPr>
                <w:rFonts w:cs="Arial"/>
                <w:color w:val="000000"/>
                <w:sz w:val="18"/>
                <w:szCs w:val="18"/>
              </w:rPr>
              <w:t>delivery methodology</w:t>
            </w:r>
            <w:r w:rsidR="001575CF" w:rsidRPr="00F07058"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z w:val="18"/>
                <w:szCs w:val="18"/>
              </w:rPr>
              <w:t>that</w:t>
            </w:r>
            <w:r w:rsidR="001575CF" w:rsidRPr="00F07058">
              <w:rPr>
                <w:rFonts w:cs="Arial"/>
                <w:color w:val="000000"/>
                <w:sz w:val="18"/>
                <w:szCs w:val="18"/>
              </w:rPr>
              <w:t xml:space="preserve"> d</w:t>
            </w:r>
            <w:r w:rsidR="001575CF">
              <w:rPr>
                <w:rFonts w:cs="Arial"/>
                <w:color w:val="000000"/>
                <w:sz w:val="18"/>
                <w:szCs w:val="18"/>
              </w:rPr>
              <w:t>efine</w:t>
            </w:r>
            <w:r>
              <w:rPr>
                <w:rFonts w:cs="Arial"/>
                <w:color w:val="000000"/>
                <w:sz w:val="18"/>
                <w:szCs w:val="18"/>
              </w:rPr>
              <w:t>s</w:t>
            </w:r>
            <w:r w:rsidR="001575CF">
              <w:rPr>
                <w:rFonts w:cs="Arial"/>
                <w:color w:val="000000"/>
                <w:sz w:val="18"/>
                <w:szCs w:val="18"/>
              </w:rPr>
              <w:t xml:space="preserve"> in detail the </w:t>
            </w:r>
            <w:r w:rsidR="002C1051">
              <w:rPr>
                <w:rFonts w:cs="Arial"/>
                <w:color w:val="000000"/>
                <w:sz w:val="18"/>
                <w:szCs w:val="18"/>
              </w:rPr>
              <w:t xml:space="preserve">eleven </w:t>
            </w:r>
            <w:r w:rsidR="001575CF">
              <w:rPr>
                <w:rFonts w:cs="Arial"/>
                <w:color w:val="000000"/>
                <w:sz w:val="18"/>
                <w:szCs w:val="18"/>
              </w:rPr>
              <w:t>(</w:t>
            </w:r>
            <w:r w:rsidR="002C1051">
              <w:rPr>
                <w:rFonts w:cs="Arial"/>
                <w:color w:val="000000"/>
                <w:sz w:val="18"/>
                <w:szCs w:val="18"/>
              </w:rPr>
              <w:t>11</w:t>
            </w:r>
            <w:r w:rsidR="001575CF" w:rsidRPr="00F07058">
              <w:rPr>
                <w:rFonts w:cs="Arial"/>
                <w:color w:val="000000"/>
                <w:sz w:val="18"/>
                <w:szCs w:val="18"/>
              </w:rPr>
              <w:t xml:space="preserve">) areas stated in the scope of work in </w:t>
            </w:r>
            <w:r w:rsidR="001575CF" w:rsidRPr="00AD7C35">
              <w:rPr>
                <w:rFonts w:cs="Arial"/>
                <w:color w:val="000000"/>
                <w:sz w:val="18"/>
                <w:szCs w:val="18"/>
              </w:rPr>
              <w:t>paragraph 9.1</w:t>
            </w:r>
            <w:r w:rsidR="00BF1AC9">
              <w:rPr>
                <w:rFonts w:cs="Arial"/>
                <w:color w:val="000000"/>
                <w:sz w:val="18"/>
                <w:szCs w:val="18"/>
              </w:rPr>
              <w:t>.1</w:t>
            </w:r>
            <w:r w:rsidR="001575CF" w:rsidRPr="00F07058">
              <w:rPr>
                <w:rFonts w:cs="Arial"/>
                <w:color w:val="000000"/>
                <w:sz w:val="18"/>
                <w:szCs w:val="18"/>
              </w:rPr>
              <w:t xml:space="preserve"> of the RFP document</w:t>
            </w:r>
            <w:r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29A452" w14:textId="77777777" w:rsidR="001575CF" w:rsidRPr="00AD7C35" w:rsidRDefault="001575CF" w:rsidP="00AD7C35">
            <w:pPr>
              <w:widowControl w:val="0"/>
              <w:spacing w:line="276" w:lineRule="auto"/>
              <w:jc w:val="center"/>
              <w:rPr>
                <w:rFonts w:cs="Arial"/>
                <w:b/>
                <w:color w:val="000000"/>
                <w:sz w:val="18"/>
                <w:szCs w:val="18"/>
              </w:rPr>
            </w:pPr>
            <w:r w:rsidRPr="00AD7C35">
              <w:rPr>
                <w:rFonts w:cs="Arial"/>
                <w:b/>
                <w:color w:val="000000"/>
                <w:sz w:val="18"/>
                <w:szCs w:val="18"/>
              </w:rPr>
              <w:t>15</w:t>
            </w:r>
          </w:p>
        </w:tc>
        <w:tc>
          <w:tcPr>
            <w:tcW w:w="2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91AFFD" w14:textId="74BE1C87" w:rsidR="001575CF" w:rsidRPr="00F07058" w:rsidRDefault="001575CF">
            <w:pPr>
              <w:widowControl w:val="0"/>
              <w:spacing w:line="276" w:lineRule="auto"/>
              <w:jc w:val="both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 xml:space="preserve">Submitted </w:t>
            </w:r>
            <w:r w:rsidR="0026217B" w:rsidRPr="0026217B">
              <w:rPr>
                <w:rFonts w:cs="Arial"/>
                <w:color w:val="000000"/>
                <w:sz w:val="18"/>
                <w:szCs w:val="18"/>
              </w:rPr>
              <w:t>service delivery methodology</w:t>
            </w:r>
            <w:r w:rsidR="0026217B" w:rsidRPr="0026217B" w:rsidDel="0026217B"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 w:rsidR="0026217B">
              <w:rPr>
                <w:rFonts w:cs="Arial"/>
                <w:color w:val="000000"/>
                <w:sz w:val="18"/>
                <w:szCs w:val="18"/>
              </w:rPr>
              <w:t>for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less than </w:t>
            </w:r>
            <w:r w:rsidR="0026217B">
              <w:rPr>
                <w:rFonts w:cs="Arial"/>
                <w:color w:val="000000"/>
                <w:sz w:val="18"/>
                <w:szCs w:val="18"/>
              </w:rPr>
              <w:t xml:space="preserve">the </w:t>
            </w:r>
            <w:r w:rsidR="002C1051">
              <w:rPr>
                <w:rFonts w:cs="Arial"/>
                <w:color w:val="000000"/>
                <w:sz w:val="18"/>
                <w:szCs w:val="18"/>
              </w:rPr>
              <w:t>11</w:t>
            </w:r>
            <w:r w:rsidR="002C1051" w:rsidRPr="00F07058"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 w:rsidRPr="00F07058">
              <w:rPr>
                <w:rFonts w:cs="Arial"/>
                <w:color w:val="000000"/>
                <w:sz w:val="18"/>
                <w:szCs w:val="18"/>
              </w:rPr>
              <w:t xml:space="preserve">areas stated in the scope of work </w:t>
            </w:r>
            <w:r w:rsidR="0026217B">
              <w:rPr>
                <w:rFonts w:cs="Arial"/>
                <w:color w:val="000000"/>
                <w:sz w:val="18"/>
                <w:szCs w:val="18"/>
              </w:rPr>
              <w:t>of</w:t>
            </w:r>
            <w:r w:rsidR="0026217B" w:rsidRPr="00F07058"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 w:rsidRPr="00F07058">
              <w:rPr>
                <w:rFonts w:cs="Arial"/>
                <w:color w:val="000000"/>
                <w:sz w:val="18"/>
                <w:szCs w:val="18"/>
              </w:rPr>
              <w:t xml:space="preserve">the RFP document. </w:t>
            </w:r>
          </w:p>
        </w:tc>
        <w:tc>
          <w:tcPr>
            <w:tcW w:w="1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193A5A" w14:textId="77777777" w:rsidR="001575CF" w:rsidRPr="00F07058" w:rsidRDefault="001575CF" w:rsidP="00AD7C35">
            <w:pPr>
              <w:widowControl w:val="0"/>
              <w:spacing w:line="276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F07058">
              <w:rPr>
                <w:rFonts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189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45E06670" w14:textId="3C5969B8" w:rsidR="001575CF" w:rsidRPr="00F07058" w:rsidRDefault="001575CF" w:rsidP="004A41E9">
            <w:pPr>
              <w:widowControl w:val="0"/>
              <w:spacing w:line="276" w:lineRule="auto"/>
              <w:jc w:val="both"/>
              <w:rPr>
                <w:rFonts w:cs="Arial"/>
                <w:color w:val="000000"/>
                <w:sz w:val="18"/>
                <w:szCs w:val="18"/>
              </w:rPr>
            </w:pPr>
            <w:r w:rsidRPr="008754DF">
              <w:rPr>
                <w:rFonts w:cs="Arial"/>
                <w:color w:val="000000"/>
                <w:sz w:val="18"/>
                <w:szCs w:val="18"/>
              </w:rPr>
              <w:t>A document detailing the</w:t>
            </w:r>
            <w:r>
              <w:t xml:space="preserve"> </w:t>
            </w:r>
            <w:r w:rsidRPr="008754DF">
              <w:rPr>
                <w:rFonts w:cs="Arial"/>
                <w:color w:val="000000"/>
                <w:sz w:val="18"/>
                <w:szCs w:val="18"/>
              </w:rPr>
              <w:t>service delivery methodology</w:t>
            </w:r>
            <w:r>
              <w:t xml:space="preserve"> </w:t>
            </w:r>
            <w:r w:rsidRPr="008754DF">
              <w:rPr>
                <w:sz w:val="18"/>
                <w:szCs w:val="18"/>
              </w:rPr>
              <w:t>in line with</w:t>
            </w:r>
            <w:r>
              <w:t xml:space="preserve"> </w:t>
            </w:r>
            <w:r w:rsidRPr="008754DF">
              <w:rPr>
                <w:rFonts w:cs="Arial"/>
                <w:color w:val="000000"/>
                <w:sz w:val="18"/>
                <w:szCs w:val="18"/>
              </w:rPr>
              <w:t>the scope of work</w:t>
            </w:r>
            <w:r w:rsidR="0026217B">
              <w:rPr>
                <w:rFonts w:cs="Arial"/>
                <w:color w:val="000000"/>
                <w:sz w:val="18"/>
                <w:szCs w:val="18"/>
              </w:rPr>
              <w:t xml:space="preserve"> in the RFP document</w:t>
            </w:r>
            <w:r w:rsidR="002131B5"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</w:tr>
      <w:tr w:rsidR="001575CF" w:rsidRPr="00F07058" w14:paraId="7CD7F83E" w14:textId="77777777" w:rsidTr="00AD7C35">
        <w:trPr>
          <w:trHeight w:val="438"/>
        </w:trPr>
        <w:tc>
          <w:tcPr>
            <w:tcW w:w="102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B73080" w14:textId="77777777" w:rsidR="001575CF" w:rsidRPr="00F07058" w:rsidRDefault="001575CF" w:rsidP="001575CF">
            <w:pPr>
              <w:widowControl w:val="0"/>
              <w:spacing w:line="276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67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3DCC8899" w14:textId="77777777" w:rsidR="001575CF" w:rsidRPr="00F07058" w:rsidRDefault="001575CF" w:rsidP="001575CF">
            <w:pPr>
              <w:widowControl w:val="0"/>
              <w:spacing w:line="276" w:lineRule="auto"/>
              <w:jc w:val="both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A13736" w14:textId="77777777" w:rsidR="001575CF" w:rsidRPr="008A6AE6" w:rsidRDefault="001575CF">
            <w:pPr>
              <w:widowControl w:val="0"/>
              <w:spacing w:line="276" w:lineRule="auto"/>
              <w:jc w:val="center"/>
              <w:rPr>
                <w:rFonts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2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D00675" w14:textId="64F36E3D" w:rsidR="001575CF" w:rsidRPr="00F07058" w:rsidRDefault="001575CF">
            <w:pPr>
              <w:widowControl w:val="0"/>
              <w:spacing w:line="276" w:lineRule="auto"/>
              <w:jc w:val="both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 xml:space="preserve">Submitted </w:t>
            </w:r>
            <w:r w:rsidR="0026217B" w:rsidRPr="0026217B">
              <w:rPr>
                <w:rFonts w:cs="Arial"/>
                <w:color w:val="000000"/>
                <w:sz w:val="18"/>
                <w:szCs w:val="18"/>
              </w:rPr>
              <w:t>service delivery methodology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in all </w:t>
            </w:r>
            <w:r w:rsidR="002C1051">
              <w:rPr>
                <w:rFonts w:cs="Arial"/>
                <w:color w:val="000000"/>
                <w:sz w:val="18"/>
                <w:szCs w:val="18"/>
              </w:rPr>
              <w:t>11</w:t>
            </w:r>
            <w:r w:rsidR="002C1051" w:rsidRPr="00F07058"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 w:rsidRPr="00F07058">
              <w:rPr>
                <w:rFonts w:cs="Arial"/>
                <w:color w:val="000000"/>
                <w:sz w:val="18"/>
                <w:szCs w:val="18"/>
              </w:rPr>
              <w:t xml:space="preserve">areas stated in the scope of work </w:t>
            </w:r>
            <w:r w:rsidR="0026217B">
              <w:rPr>
                <w:rFonts w:cs="Arial"/>
                <w:color w:val="000000"/>
                <w:sz w:val="18"/>
                <w:szCs w:val="18"/>
              </w:rPr>
              <w:t>of</w:t>
            </w:r>
            <w:r w:rsidR="0026217B" w:rsidRPr="00F07058"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 w:rsidRPr="00F07058">
              <w:rPr>
                <w:rFonts w:cs="Arial"/>
                <w:color w:val="000000"/>
                <w:sz w:val="18"/>
                <w:szCs w:val="18"/>
              </w:rPr>
              <w:t>the RFP document.</w:t>
            </w:r>
          </w:p>
        </w:tc>
        <w:tc>
          <w:tcPr>
            <w:tcW w:w="1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94894C" w14:textId="77777777" w:rsidR="001575CF" w:rsidRPr="00F07058" w:rsidRDefault="001575CF" w:rsidP="00AD7C35">
            <w:pPr>
              <w:widowControl w:val="0"/>
              <w:spacing w:line="276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15</w:t>
            </w:r>
          </w:p>
        </w:tc>
        <w:tc>
          <w:tcPr>
            <w:tcW w:w="189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641DCC" w14:textId="77777777" w:rsidR="001575CF" w:rsidRDefault="001575CF">
            <w:pPr>
              <w:widowControl w:val="0"/>
              <w:spacing w:line="276" w:lineRule="auto"/>
              <w:jc w:val="both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1575CF" w:rsidRPr="00F07058" w14:paraId="7E1B5726" w14:textId="77777777" w:rsidTr="00AD7C35">
        <w:trPr>
          <w:trHeight w:val="1882"/>
        </w:trPr>
        <w:tc>
          <w:tcPr>
            <w:tcW w:w="10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5B5A43" w14:textId="77777777" w:rsidR="001575CF" w:rsidRPr="00F07058" w:rsidRDefault="001575CF" w:rsidP="001575CF">
            <w:pPr>
              <w:widowControl w:val="0"/>
              <w:spacing w:line="276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  <w:p w14:paraId="3FA27A02" w14:textId="77777777" w:rsidR="001575CF" w:rsidRPr="00F07058" w:rsidRDefault="001575CF" w:rsidP="001575CF">
            <w:pPr>
              <w:widowControl w:val="0"/>
              <w:spacing w:line="276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3.2</w:t>
            </w:r>
            <w:r w:rsidRPr="00F07058">
              <w:rPr>
                <w:rFonts w:cs="Arial"/>
                <w:color w:val="000000"/>
                <w:sz w:val="18"/>
                <w:szCs w:val="18"/>
              </w:rPr>
              <w:br/>
            </w:r>
          </w:p>
        </w:tc>
        <w:tc>
          <w:tcPr>
            <w:tcW w:w="567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572F6502" w14:textId="5E55E9F4" w:rsidR="001575CF" w:rsidRPr="00F07058" w:rsidRDefault="0026217B" w:rsidP="00A777F8">
            <w:pPr>
              <w:widowControl w:val="0"/>
              <w:spacing w:line="276" w:lineRule="auto"/>
              <w:jc w:val="both"/>
              <w:rPr>
                <w:rFonts w:cs="Arial"/>
                <w:bCs/>
                <w:sz w:val="18"/>
                <w:szCs w:val="18"/>
              </w:rPr>
            </w:pPr>
            <w:r w:rsidRPr="00F07058">
              <w:rPr>
                <w:rFonts w:cs="Arial"/>
                <w:bCs/>
                <w:sz w:val="18"/>
                <w:szCs w:val="18"/>
              </w:rPr>
              <w:t xml:space="preserve">The </w:t>
            </w:r>
            <w:r>
              <w:rPr>
                <w:rFonts w:cs="Arial"/>
                <w:bCs/>
                <w:sz w:val="18"/>
                <w:szCs w:val="18"/>
              </w:rPr>
              <w:t xml:space="preserve">Bidder must </w:t>
            </w:r>
            <w:r w:rsidR="001575CF" w:rsidRPr="00F07058">
              <w:rPr>
                <w:rFonts w:cs="Arial"/>
                <w:bCs/>
                <w:sz w:val="18"/>
                <w:szCs w:val="18"/>
              </w:rPr>
              <w:t xml:space="preserve">provide a </w:t>
            </w:r>
            <w:r w:rsidR="001575CF" w:rsidRPr="00AD7C35">
              <w:rPr>
                <w:rFonts w:cs="Arial"/>
                <w:bCs/>
                <w:sz w:val="18"/>
                <w:szCs w:val="18"/>
              </w:rPr>
              <w:t>process flow</w:t>
            </w:r>
            <w:r w:rsidR="001575CF" w:rsidRPr="00F07058">
              <w:rPr>
                <w:rFonts w:cs="Arial"/>
                <w:bCs/>
                <w:sz w:val="18"/>
                <w:szCs w:val="18"/>
              </w:rPr>
              <w:t xml:space="preserve"> on how to conduct </w:t>
            </w:r>
            <w:r w:rsidR="00284D9E">
              <w:rPr>
                <w:rFonts w:cs="Arial"/>
                <w:bCs/>
                <w:sz w:val="18"/>
                <w:szCs w:val="18"/>
              </w:rPr>
              <w:t xml:space="preserve">a </w:t>
            </w:r>
            <w:r w:rsidR="001575CF" w:rsidRPr="003A382E">
              <w:rPr>
                <w:rFonts w:cs="Arial"/>
                <w:bCs/>
                <w:sz w:val="18"/>
                <w:szCs w:val="18"/>
              </w:rPr>
              <w:t>site risk assessment</w:t>
            </w:r>
            <w:r>
              <w:rPr>
                <w:rFonts w:cs="Arial"/>
                <w:bCs/>
                <w:sz w:val="18"/>
                <w:szCs w:val="18"/>
              </w:rPr>
              <w:t>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42E61A" w14:textId="77777777" w:rsidR="001575CF" w:rsidRPr="00AD7C35" w:rsidRDefault="001575CF" w:rsidP="004E5E67">
            <w:pPr>
              <w:widowControl w:val="0"/>
              <w:spacing w:line="276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AD7C35">
              <w:rPr>
                <w:rFonts w:cs="Arial"/>
                <w:b/>
                <w:bCs/>
                <w:color w:val="000000"/>
                <w:sz w:val="18"/>
                <w:szCs w:val="18"/>
              </w:rPr>
              <w:t>10</w:t>
            </w:r>
          </w:p>
        </w:tc>
        <w:tc>
          <w:tcPr>
            <w:tcW w:w="2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824E42" w14:textId="330B7B1D" w:rsidR="001575CF" w:rsidRPr="00F07058" w:rsidRDefault="001575CF" w:rsidP="000029A8">
            <w:pPr>
              <w:widowControl w:val="0"/>
              <w:spacing w:line="276" w:lineRule="auto"/>
              <w:jc w:val="both"/>
              <w:rPr>
                <w:rFonts w:cs="Arial"/>
                <w:color w:val="000000"/>
                <w:sz w:val="18"/>
                <w:szCs w:val="18"/>
              </w:rPr>
            </w:pPr>
            <w:r w:rsidRPr="00F07058">
              <w:rPr>
                <w:rFonts w:cs="Arial"/>
                <w:color w:val="000000"/>
                <w:sz w:val="18"/>
                <w:szCs w:val="18"/>
              </w:rPr>
              <w:t xml:space="preserve">Did not submit a process flow on how </w:t>
            </w:r>
            <w:r w:rsidR="000029A8">
              <w:rPr>
                <w:rFonts w:cs="Arial"/>
                <w:color w:val="000000"/>
                <w:sz w:val="18"/>
                <w:szCs w:val="18"/>
              </w:rPr>
              <w:t xml:space="preserve">to conduct </w:t>
            </w:r>
            <w:r w:rsidR="0026217B">
              <w:rPr>
                <w:rFonts w:cs="Arial"/>
                <w:color w:val="000000"/>
                <w:sz w:val="18"/>
                <w:szCs w:val="18"/>
              </w:rPr>
              <w:t xml:space="preserve">a </w:t>
            </w:r>
            <w:r w:rsidR="000029A8">
              <w:rPr>
                <w:rFonts w:cs="Arial"/>
                <w:color w:val="000000"/>
                <w:sz w:val="18"/>
                <w:szCs w:val="18"/>
              </w:rPr>
              <w:t>site risk assessment</w:t>
            </w:r>
            <w:r w:rsidR="0045599E">
              <w:rPr>
                <w:rFonts w:cs="Arial"/>
                <w:color w:val="000000"/>
                <w:sz w:val="18"/>
                <w:szCs w:val="18"/>
              </w:rPr>
              <w:t xml:space="preserve">, </w:t>
            </w:r>
            <w:r w:rsidR="0045599E" w:rsidRPr="0045599E">
              <w:rPr>
                <w:rFonts w:cs="Arial"/>
                <w:color w:val="000000"/>
                <w:sz w:val="18"/>
                <w:szCs w:val="18"/>
              </w:rPr>
              <w:t xml:space="preserve">as well as </w:t>
            </w:r>
            <w:r w:rsidR="0045599E">
              <w:rPr>
                <w:rFonts w:cs="Arial"/>
                <w:color w:val="000000"/>
                <w:sz w:val="18"/>
                <w:szCs w:val="18"/>
              </w:rPr>
              <w:t>a sample report</w:t>
            </w:r>
            <w:r w:rsidR="00110720"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011982" w14:textId="77777777" w:rsidR="001575CF" w:rsidRPr="00F07058" w:rsidRDefault="001575CF" w:rsidP="00AD7C35">
            <w:pPr>
              <w:widowControl w:val="0"/>
              <w:spacing w:line="276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F07058">
              <w:rPr>
                <w:rFonts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1896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749E75D5" w14:textId="7E8D12F1" w:rsidR="001575CF" w:rsidRPr="00F07058" w:rsidRDefault="001575CF" w:rsidP="008A6AE6">
            <w:pPr>
              <w:widowControl w:val="0"/>
              <w:spacing w:line="276" w:lineRule="auto"/>
              <w:jc w:val="both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bCs/>
                <w:color w:val="000000"/>
                <w:sz w:val="18"/>
                <w:szCs w:val="18"/>
              </w:rPr>
              <w:t xml:space="preserve">A detailed </w:t>
            </w:r>
            <w:r w:rsidR="00B63743">
              <w:rPr>
                <w:rFonts w:cs="Arial"/>
                <w:bCs/>
                <w:color w:val="000000"/>
                <w:sz w:val="18"/>
                <w:szCs w:val="18"/>
              </w:rPr>
              <w:t>process flow</w:t>
            </w:r>
            <w:r w:rsidR="000029A8">
              <w:rPr>
                <w:rFonts w:cs="Arial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cs="Arial"/>
                <w:bCs/>
                <w:color w:val="000000"/>
                <w:sz w:val="18"/>
                <w:szCs w:val="18"/>
              </w:rPr>
              <w:t xml:space="preserve">on </w:t>
            </w:r>
            <w:r w:rsidR="000029A8">
              <w:rPr>
                <w:rFonts w:cs="Arial"/>
                <w:bCs/>
                <w:color w:val="000000"/>
                <w:sz w:val="18"/>
                <w:szCs w:val="18"/>
              </w:rPr>
              <w:t xml:space="preserve">how a site </w:t>
            </w:r>
            <w:r w:rsidRPr="008754DF">
              <w:rPr>
                <w:rFonts w:cs="Arial"/>
                <w:bCs/>
                <w:color w:val="000000"/>
                <w:sz w:val="18"/>
                <w:szCs w:val="18"/>
              </w:rPr>
              <w:t>risk assessment</w:t>
            </w:r>
            <w:r>
              <w:rPr>
                <w:rFonts w:cs="Arial"/>
                <w:bCs/>
                <w:color w:val="000000"/>
                <w:sz w:val="18"/>
                <w:szCs w:val="18"/>
              </w:rPr>
              <w:t xml:space="preserve"> </w:t>
            </w:r>
            <w:r w:rsidR="000029A8">
              <w:rPr>
                <w:rFonts w:cs="Arial"/>
                <w:bCs/>
                <w:color w:val="000000"/>
                <w:sz w:val="18"/>
                <w:szCs w:val="18"/>
              </w:rPr>
              <w:t>is conducted</w:t>
            </w:r>
            <w:r w:rsidR="008C7B5A">
              <w:rPr>
                <w:rFonts w:cs="Arial"/>
                <w:bCs/>
                <w:color w:val="000000"/>
                <w:sz w:val="18"/>
                <w:szCs w:val="18"/>
              </w:rPr>
              <w:t>.</w:t>
            </w:r>
            <w:r w:rsidR="000029A8">
              <w:rPr>
                <w:rFonts w:cs="Arial"/>
                <w:bCs/>
                <w:color w:val="000000"/>
                <w:sz w:val="18"/>
                <w:szCs w:val="18"/>
              </w:rPr>
              <w:t xml:space="preserve"> </w:t>
            </w:r>
            <w:r w:rsidR="00B63743" w:rsidRPr="00AD7C35">
              <w:rPr>
                <w:rFonts w:cs="Arial"/>
                <w:bCs/>
                <w:color w:val="000000"/>
                <w:sz w:val="18"/>
                <w:szCs w:val="18"/>
              </w:rPr>
              <w:t>Format to include</w:t>
            </w:r>
            <w:r w:rsidR="00FE7EDE" w:rsidRPr="00AD7C35">
              <w:rPr>
                <w:rFonts w:cs="Arial"/>
                <w:bCs/>
                <w:color w:val="000000"/>
                <w:sz w:val="18"/>
                <w:szCs w:val="18"/>
              </w:rPr>
              <w:t>, but not limited to</w:t>
            </w:r>
            <w:r w:rsidR="0045599E">
              <w:rPr>
                <w:rFonts w:cs="Arial"/>
                <w:bCs/>
                <w:color w:val="000000"/>
                <w:sz w:val="18"/>
                <w:szCs w:val="18"/>
              </w:rPr>
              <w:t>,</w:t>
            </w:r>
            <w:r w:rsidR="0045599E" w:rsidRPr="00AD7C35">
              <w:rPr>
                <w:rFonts w:cs="Arial"/>
                <w:bCs/>
                <w:color w:val="000000"/>
                <w:sz w:val="18"/>
                <w:szCs w:val="18"/>
              </w:rPr>
              <w:t xml:space="preserve"> </w:t>
            </w:r>
            <w:r w:rsidR="00B63743" w:rsidRPr="00AD7C35">
              <w:rPr>
                <w:rFonts w:cs="Arial"/>
                <w:bCs/>
                <w:color w:val="000000"/>
                <w:sz w:val="18"/>
                <w:szCs w:val="18"/>
              </w:rPr>
              <w:t>the</w:t>
            </w:r>
            <w:r w:rsidR="00B63743" w:rsidRPr="004A41E9">
              <w:rPr>
                <w:rFonts w:cs="Arial"/>
                <w:bCs/>
                <w:color w:val="000000"/>
                <w:sz w:val="18"/>
                <w:szCs w:val="18"/>
              </w:rPr>
              <w:t xml:space="preserve"> </w:t>
            </w:r>
            <w:r w:rsidR="0026217B" w:rsidRPr="00AD7C35">
              <w:rPr>
                <w:rFonts w:cs="Arial"/>
                <w:bCs/>
                <w:color w:val="000000"/>
                <w:sz w:val="18"/>
                <w:szCs w:val="18"/>
              </w:rPr>
              <w:t>purpose</w:t>
            </w:r>
            <w:r w:rsidR="00284D9E" w:rsidRPr="00AD7C35">
              <w:rPr>
                <w:rFonts w:cs="Arial"/>
                <w:bCs/>
                <w:color w:val="000000"/>
                <w:sz w:val="18"/>
                <w:szCs w:val="18"/>
              </w:rPr>
              <w:t xml:space="preserve">, </w:t>
            </w:r>
            <w:r w:rsidR="00284D9E" w:rsidRPr="00AD7C35">
              <w:rPr>
                <w:rFonts w:cs="Arial"/>
                <w:bCs/>
                <w:color w:val="000000"/>
                <w:sz w:val="18"/>
                <w:szCs w:val="18"/>
              </w:rPr>
              <w:lastRenderedPageBreak/>
              <w:t>background,</w:t>
            </w:r>
            <w:r w:rsidR="008A6AE6">
              <w:rPr>
                <w:rFonts w:cs="Arial"/>
                <w:bCs/>
                <w:color w:val="000000"/>
                <w:sz w:val="18"/>
                <w:szCs w:val="18"/>
              </w:rPr>
              <w:t xml:space="preserve"> </w:t>
            </w:r>
            <w:r w:rsidR="0026217B" w:rsidRPr="00AD7C35">
              <w:rPr>
                <w:rFonts w:cs="Arial"/>
                <w:bCs/>
                <w:color w:val="000000"/>
                <w:sz w:val="18"/>
                <w:szCs w:val="18"/>
              </w:rPr>
              <w:t xml:space="preserve">process followed, facility appreciation, </w:t>
            </w:r>
            <w:r w:rsidR="00284D9E" w:rsidRPr="00AD7C35">
              <w:rPr>
                <w:rFonts w:cs="Arial"/>
                <w:bCs/>
                <w:color w:val="000000"/>
                <w:sz w:val="18"/>
                <w:szCs w:val="18"/>
              </w:rPr>
              <w:t>findings which incl</w:t>
            </w:r>
            <w:r w:rsidR="00B52E64">
              <w:rPr>
                <w:rFonts w:cs="Arial"/>
                <w:bCs/>
                <w:color w:val="000000"/>
                <w:sz w:val="18"/>
                <w:szCs w:val="18"/>
              </w:rPr>
              <w:t>udes</w:t>
            </w:r>
            <w:r w:rsidR="00B52E64" w:rsidRPr="00AD7C35">
              <w:rPr>
                <w:rFonts w:cs="Arial"/>
                <w:bCs/>
                <w:color w:val="000000"/>
                <w:sz w:val="18"/>
                <w:szCs w:val="18"/>
              </w:rPr>
              <w:t xml:space="preserve"> </w:t>
            </w:r>
            <w:r w:rsidR="00284D9E" w:rsidRPr="00AD7C35">
              <w:rPr>
                <w:rFonts w:cs="Arial"/>
                <w:bCs/>
                <w:color w:val="000000"/>
                <w:sz w:val="18"/>
                <w:szCs w:val="18"/>
              </w:rPr>
              <w:t>crime stat</w:t>
            </w:r>
            <w:r w:rsidR="0026217B" w:rsidRPr="00AD7C35">
              <w:rPr>
                <w:rFonts w:cs="Arial"/>
                <w:bCs/>
                <w:color w:val="000000"/>
                <w:sz w:val="18"/>
                <w:szCs w:val="18"/>
              </w:rPr>
              <w:t>i</w:t>
            </w:r>
            <w:r w:rsidR="00284D9E" w:rsidRPr="00AD7C35">
              <w:rPr>
                <w:rFonts w:cs="Arial"/>
                <w:bCs/>
                <w:color w:val="000000"/>
                <w:sz w:val="18"/>
                <w:szCs w:val="18"/>
              </w:rPr>
              <w:t>s</w:t>
            </w:r>
            <w:r w:rsidR="0026217B" w:rsidRPr="00AD7C35">
              <w:rPr>
                <w:rFonts w:cs="Arial"/>
                <w:bCs/>
                <w:color w:val="000000"/>
                <w:sz w:val="18"/>
                <w:szCs w:val="18"/>
              </w:rPr>
              <w:t>tics</w:t>
            </w:r>
            <w:r w:rsidR="00284D9E" w:rsidRPr="00AD7C35">
              <w:rPr>
                <w:rFonts w:cs="Arial"/>
                <w:bCs/>
                <w:color w:val="000000"/>
                <w:sz w:val="18"/>
                <w:szCs w:val="18"/>
              </w:rPr>
              <w:t xml:space="preserve"> for </w:t>
            </w:r>
            <w:r w:rsidR="00B52E64">
              <w:rPr>
                <w:rFonts w:cs="Arial"/>
                <w:bCs/>
                <w:color w:val="000000"/>
                <w:sz w:val="18"/>
                <w:szCs w:val="18"/>
              </w:rPr>
              <w:t>an</w:t>
            </w:r>
            <w:r w:rsidR="00B52E64" w:rsidRPr="00AD7C35">
              <w:rPr>
                <w:rFonts w:cs="Arial"/>
                <w:bCs/>
                <w:color w:val="000000"/>
                <w:sz w:val="18"/>
                <w:szCs w:val="18"/>
              </w:rPr>
              <w:t xml:space="preserve"> </w:t>
            </w:r>
            <w:r w:rsidR="00284D9E" w:rsidRPr="00AD7C35">
              <w:rPr>
                <w:rFonts w:cs="Arial"/>
                <w:bCs/>
                <w:color w:val="000000"/>
                <w:sz w:val="18"/>
                <w:szCs w:val="18"/>
              </w:rPr>
              <w:t>area, conclusion and recommendations</w:t>
            </w:r>
            <w:r w:rsidR="008C7B5A" w:rsidRPr="00AD7C35">
              <w:rPr>
                <w:rFonts w:cs="Arial"/>
                <w:bCs/>
                <w:color w:val="000000"/>
                <w:sz w:val="18"/>
                <w:szCs w:val="18"/>
              </w:rPr>
              <w:t>.</w:t>
            </w:r>
            <w:r w:rsidR="008C7B5A" w:rsidRPr="004A41E9"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 w:rsidR="008C7B5A">
              <w:rPr>
                <w:rFonts w:cs="Arial"/>
                <w:color w:val="000000"/>
                <w:sz w:val="18"/>
                <w:szCs w:val="18"/>
              </w:rPr>
              <w:t xml:space="preserve">Bidders must also provide </w:t>
            </w:r>
            <w:r w:rsidR="008C7B5A" w:rsidRPr="004A41E9">
              <w:rPr>
                <w:rFonts w:cs="Arial"/>
                <w:bCs/>
                <w:color w:val="000000"/>
                <w:sz w:val="18"/>
                <w:szCs w:val="18"/>
              </w:rPr>
              <w:t>one</w:t>
            </w:r>
            <w:r w:rsidR="0026217B" w:rsidRPr="00AD7C35">
              <w:rPr>
                <w:rFonts w:cs="Arial"/>
                <w:bCs/>
                <w:color w:val="000000"/>
                <w:sz w:val="18"/>
                <w:szCs w:val="18"/>
              </w:rPr>
              <w:t xml:space="preserve"> </w:t>
            </w:r>
            <w:r w:rsidR="008C7B5A">
              <w:rPr>
                <w:rFonts w:cs="Arial"/>
                <w:bCs/>
                <w:color w:val="000000"/>
                <w:sz w:val="18"/>
                <w:szCs w:val="18"/>
              </w:rPr>
              <w:t xml:space="preserve">(1) </w:t>
            </w:r>
            <w:r w:rsidR="0026217B" w:rsidRPr="00AD7C35">
              <w:rPr>
                <w:rFonts w:cs="Arial"/>
                <w:bCs/>
                <w:color w:val="000000"/>
                <w:sz w:val="18"/>
                <w:szCs w:val="18"/>
              </w:rPr>
              <w:t xml:space="preserve">sample of a risk assessment report for </w:t>
            </w:r>
            <w:r w:rsidR="008C7B5A">
              <w:rPr>
                <w:rFonts w:cs="Arial"/>
                <w:bCs/>
                <w:color w:val="000000"/>
                <w:sz w:val="18"/>
                <w:szCs w:val="18"/>
              </w:rPr>
              <w:t>a</w:t>
            </w:r>
            <w:r w:rsidR="0026217B" w:rsidRPr="00AD7C35">
              <w:rPr>
                <w:rFonts w:cs="Arial"/>
                <w:bCs/>
                <w:color w:val="000000"/>
                <w:sz w:val="18"/>
                <w:szCs w:val="18"/>
              </w:rPr>
              <w:t xml:space="preserve"> site.</w:t>
            </w:r>
          </w:p>
        </w:tc>
      </w:tr>
      <w:tr w:rsidR="001575CF" w:rsidRPr="00F07058" w14:paraId="3ECD9AFF" w14:textId="77777777" w:rsidTr="00AD7C35">
        <w:trPr>
          <w:trHeight w:val="117"/>
        </w:trPr>
        <w:tc>
          <w:tcPr>
            <w:tcW w:w="102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EB46DC" w14:textId="77777777" w:rsidR="001575CF" w:rsidRPr="00F07058" w:rsidRDefault="001575CF" w:rsidP="001575CF">
            <w:pPr>
              <w:widowControl w:val="0"/>
              <w:spacing w:line="276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67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520A6214" w14:textId="77777777" w:rsidR="001575CF" w:rsidRPr="00F07058" w:rsidRDefault="001575CF" w:rsidP="001575CF">
            <w:pPr>
              <w:pStyle w:val="Heading1"/>
              <w:keepNext w:val="0"/>
              <w:widowControl w:val="0"/>
              <w:tabs>
                <w:tab w:val="left" w:pos="1843"/>
              </w:tabs>
              <w:spacing w:before="0" w:after="0" w:line="276" w:lineRule="auto"/>
              <w:jc w:val="both"/>
              <w:rPr>
                <w:rFonts w:cs="Arial"/>
                <w:bCs w:val="0"/>
                <w:sz w:val="18"/>
                <w:szCs w:val="18"/>
                <w:lang w:val="en-ZA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61725A" w14:textId="77777777" w:rsidR="001575CF" w:rsidRPr="008A6AE6" w:rsidRDefault="001575CF">
            <w:pPr>
              <w:widowControl w:val="0"/>
              <w:spacing w:line="276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6CE5C5" w14:textId="4D8BAA4D" w:rsidR="001575CF" w:rsidRPr="00F07058" w:rsidRDefault="001575CF">
            <w:pPr>
              <w:widowControl w:val="0"/>
              <w:spacing w:line="276" w:lineRule="auto"/>
              <w:jc w:val="both"/>
              <w:rPr>
                <w:rFonts w:cs="Arial"/>
                <w:color w:val="000000"/>
                <w:sz w:val="18"/>
                <w:szCs w:val="18"/>
              </w:rPr>
            </w:pPr>
            <w:r w:rsidRPr="00F07058">
              <w:rPr>
                <w:rFonts w:cs="Arial"/>
                <w:color w:val="000000"/>
                <w:sz w:val="18"/>
                <w:szCs w:val="18"/>
              </w:rPr>
              <w:t xml:space="preserve">Submitted a process flow on how to conduct </w:t>
            </w:r>
            <w:r w:rsidR="0026217B">
              <w:rPr>
                <w:rFonts w:cs="Arial"/>
                <w:color w:val="000000"/>
                <w:sz w:val="18"/>
                <w:szCs w:val="18"/>
              </w:rPr>
              <w:t xml:space="preserve">a </w:t>
            </w:r>
            <w:r w:rsidRPr="00F07058">
              <w:rPr>
                <w:rFonts w:cs="Arial"/>
                <w:color w:val="000000"/>
                <w:sz w:val="18"/>
                <w:szCs w:val="18"/>
              </w:rPr>
              <w:t>site risk assessment</w:t>
            </w:r>
            <w:r w:rsidR="0045599E">
              <w:rPr>
                <w:rFonts w:cs="Arial"/>
                <w:color w:val="000000"/>
                <w:sz w:val="18"/>
                <w:szCs w:val="18"/>
              </w:rPr>
              <w:t>, as well as a sample report</w:t>
            </w:r>
            <w:r w:rsidR="00110720"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B7B92A" w14:textId="77777777" w:rsidR="001575CF" w:rsidRPr="00F07058" w:rsidRDefault="001575CF" w:rsidP="00AD7C35">
            <w:pPr>
              <w:widowControl w:val="0"/>
              <w:spacing w:line="276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89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47712D" w14:textId="77777777" w:rsidR="001575CF" w:rsidRDefault="001575CF" w:rsidP="008A6AE6">
            <w:pPr>
              <w:widowControl w:val="0"/>
              <w:spacing w:line="276" w:lineRule="auto"/>
              <w:jc w:val="both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1575CF" w:rsidRPr="00F07058" w14:paraId="058215C2" w14:textId="77777777" w:rsidTr="00AD7C35">
        <w:trPr>
          <w:trHeight w:val="231"/>
        </w:trPr>
        <w:tc>
          <w:tcPr>
            <w:tcW w:w="10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C005B2" w14:textId="77777777" w:rsidR="001575CF" w:rsidRPr="00F07058" w:rsidRDefault="001575CF" w:rsidP="001575CF">
            <w:pPr>
              <w:widowControl w:val="0"/>
              <w:spacing w:line="276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3.3</w:t>
            </w:r>
          </w:p>
        </w:tc>
        <w:tc>
          <w:tcPr>
            <w:tcW w:w="567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11A76E6F" w14:textId="3FA48AED" w:rsidR="001575CF" w:rsidRPr="00F07058" w:rsidRDefault="008C7B5A" w:rsidP="004A41E9">
            <w:pPr>
              <w:pStyle w:val="Heading1"/>
              <w:keepNext w:val="0"/>
              <w:widowControl w:val="0"/>
              <w:tabs>
                <w:tab w:val="left" w:pos="1843"/>
              </w:tabs>
              <w:spacing w:before="0" w:after="0" w:line="276" w:lineRule="auto"/>
              <w:jc w:val="both"/>
              <w:rPr>
                <w:rFonts w:cs="Arial"/>
                <w:b w:val="0"/>
                <w:bCs w:val="0"/>
                <w:sz w:val="18"/>
                <w:szCs w:val="18"/>
                <w:lang w:val="en-ZA"/>
              </w:rPr>
            </w:pPr>
            <w:r w:rsidRPr="00F07058">
              <w:rPr>
                <w:rFonts w:cs="Arial"/>
                <w:b w:val="0"/>
                <w:bCs w:val="0"/>
                <w:sz w:val="18"/>
                <w:szCs w:val="18"/>
                <w:lang w:val="en-ZA"/>
              </w:rPr>
              <w:t>The</w:t>
            </w:r>
            <w:r w:rsidR="001575CF" w:rsidRPr="00F07058">
              <w:rPr>
                <w:rFonts w:cs="Arial"/>
                <w:b w:val="0"/>
                <w:bCs w:val="0"/>
                <w:sz w:val="18"/>
                <w:szCs w:val="18"/>
                <w:lang w:val="en-ZA"/>
              </w:rPr>
              <w:t xml:space="preserve"> </w:t>
            </w:r>
            <w:r>
              <w:rPr>
                <w:rFonts w:cs="Arial"/>
                <w:b w:val="0"/>
                <w:bCs w:val="0"/>
                <w:sz w:val="18"/>
                <w:szCs w:val="18"/>
                <w:lang w:val="en-ZA"/>
              </w:rPr>
              <w:t>Bidder</w:t>
            </w:r>
            <w:r w:rsidR="001575CF" w:rsidRPr="00F07058">
              <w:rPr>
                <w:rFonts w:cs="Arial"/>
                <w:b w:val="0"/>
                <w:bCs w:val="0"/>
                <w:sz w:val="18"/>
                <w:szCs w:val="18"/>
                <w:lang w:val="en-ZA"/>
              </w:rPr>
              <w:t xml:space="preserve"> </w:t>
            </w:r>
            <w:r>
              <w:rPr>
                <w:rFonts w:cs="Arial"/>
                <w:b w:val="0"/>
                <w:bCs w:val="0"/>
                <w:sz w:val="18"/>
                <w:szCs w:val="18"/>
                <w:lang w:val="en-ZA"/>
              </w:rPr>
              <w:t>must provide its</w:t>
            </w:r>
            <w:r w:rsidR="001575CF" w:rsidRPr="00F07058">
              <w:rPr>
                <w:rFonts w:cs="Arial"/>
                <w:b w:val="0"/>
                <w:bCs w:val="0"/>
                <w:sz w:val="18"/>
                <w:szCs w:val="18"/>
                <w:lang w:val="en-ZA"/>
              </w:rPr>
              <w:t xml:space="preserve"> detailed </w:t>
            </w:r>
            <w:r w:rsidR="001575CF" w:rsidRPr="00AD7C35">
              <w:rPr>
                <w:rFonts w:cs="Arial"/>
                <w:b w:val="0"/>
                <w:bCs w:val="0"/>
                <w:sz w:val="18"/>
                <w:szCs w:val="18"/>
                <w:lang w:val="en-ZA"/>
              </w:rPr>
              <w:t>process and procedure</w:t>
            </w:r>
            <w:r w:rsidR="001575CF" w:rsidRPr="00F07058">
              <w:rPr>
                <w:rFonts w:cs="Arial"/>
                <w:b w:val="0"/>
                <w:bCs w:val="0"/>
                <w:sz w:val="18"/>
                <w:szCs w:val="18"/>
                <w:lang w:val="en-ZA"/>
              </w:rPr>
              <w:t xml:space="preserve"> to acquire</w:t>
            </w:r>
            <w:r>
              <w:rPr>
                <w:rFonts w:cs="Arial"/>
                <w:b w:val="0"/>
                <w:bCs w:val="0"/>
                <w:sz w:val="18"/>
                <w:szCs w:val="18"/>
                <w:lang w:val="en-ZA"/>
              </w:rPr>
              <w:t>,</w:t>
            </w:r>
            <w:r w:rsidR="001575CF" w:rsidRPr="00F07058">
              <w:rPr>
                <w:rFonts w:cs="Arial"/>
                <w:b w:val="0"/>
                <w:bCs w:val="0"/>
                <w:sz w:val="18"/>
                <w:szCs w:val="18"/>
                <w:lang w:val="en-ZA"/>
              </w:rPr>
              <w:t xml:space="preserve"> </w:t>
            </w:r>
            <w:r w:rsidR="001575CF" w:rsidRPr="003A382E">
              <w:rPr>
                <w:rFonts w:cs="Arial"/>
                <w:b w:val="0"/>
                <w:bCs w:val="0"/>
                <w:sz w:val="18"/>
                <w:szCs w:val="18"/>
                <w:lang w:val="en-ZA"/>
              </w:rPr>
              <w:t xml:space="preserve">issue </w:t>
            </w:r>
            <w:r w:rsidRPr="00F07058">
              <w:rPr>
                <w:rFonts w:cs="Arial"/>
                <w:b w:val="0"/>
                <w:bCs w:val="0"/>
                <w:sz w:val="18"/>
                <w:szCs w:val="18"/>
                <w:lang w:val="en-ZA"/>
              </w:rPr>
              <w:t>and</w:t>
            </w:r>
            <w:r w:rsidRPr="003A382E">
              <w:rPr>
                <w:rFonts w:cs="Arial"/>
                <w:b w:val="0"/>
                <w:bCs w:val="0"/>
                <w:sz w:val="18"/>
                <w:szCs w:val="18"/>
                <w:lang w:val="en-ZA"/>
              </w:rPr>
              <w:t xml:space="preserve"> </w:t>
            </w:r>
            <w:r>
              <w:rPr>
                <w:rFonts w:cs="Arial"/>
                <w:b w:val="0"/>
                <w:bCs w:val="0"/>
                <w:sz w:val="18"/>
                <w:szCs w:val="18"/>
                <w:lang w:val="en-ZA"/>
              </w:rPr>
              <w:t xml:space="preserve">re-issue </w:t>
            </w:r>
            <w:r w:rsidR="001575CF" w:rsidRPr="003A382E">
              <w:rPr>
                <w:rFonts w:cs="Arial"/>
                <w:b w:val="0"/>
                <w:bCs w:val="0"/>
                <w:sz w:val="18"/>
                <w:szCs w:val="18"/>
                <w:lang w:val="en-ZA"/>
              </w:rPr>
              <w:t>uniforms</w:t>
            </w:r>
            <w:r w:rsidR="001575CF" w:rsidRPr="00F07058">
              <w:rPr>
                <w:rFonts w:cs="Arial"/>
                <w:b w:val="0"/>
                <w:bCs w:val="0"/>
                <w:sz w:val="18"/>
                <w:szCs w:val="18"/>
                <w:lang w:val="en-ZA"/>
              </w:rPr>
              <w:t xml:space="preserve"> to its </w:t>
            </w:r>
            <w:r>
              <w:rPr>
                <w:rFonts w:cs="Arial"/>
                <w:b w:val="0"/>
                <w:bCs w:val="0"/>
                <w:sz w:val="18"/>
                <w:szCs w:val="18"/>
                <w:lang w:val="en-ZA"/>
              </w:rPr>
              <w:t>Security Officers</w:t>
            </w:r>
            <w:r w:rsidR="001600B8">
              <w:rPr>
                <w:rFonts w:cs="Arial"/>
                <w:b w:val="0"/>
                <w:bCs w:val="0"/>
                <w:sz w:val="18"/>
                <w:szCs w:val="18"/>
                <w:lang w:val="en-ZA"/>
              </w:rPr>
              <w:t>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445A09" w14:textId="77777777" w:rsidR="001575CF" w:rsidRPr="002C1051" w:rsidRDefault="001575CF" w:rsidP="004E5E67">
            <w:pPr>
              <w:widowControl w:val="0"/>
              <w:spacing w:line="276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2C1051">
              <w:rPr>
                <w:rFonts w:cs="Arial"/>
                <w:b/>
                <w:bCs/>
                <w:color w:val="000000"/>
                <w:sz w:val="18"/>
                <w:szCs w:val="18"/>
              </w:rPr>
              <w:t>5</w:t>
            </w:r>
          </w:p>
        </w:tc>
        <w:tc>
          <w:tcPr>
            <w:tcW w:w="2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3EF092" w14:textId="13355DC2" w:rsidR="001575CF" w:rsidRPr="00F07058" w:rsidRDefault="001575CF" w:rsidP="004A41E9">
            <w:pPr>
              <w:widowControl w:val="0"/>
              <w:spacing w:line="276" w:lineRule="auto"/>
              <w:jc w:val="both"/>
              <w:rPr>
                <w:rFonts w:cs="Arial"/>
                <w:color w:val="000000"/>
                <w:sz w:val="18"/>
                <w:szCs w:val="18"/>
              </w:rPr>
            </w:pPr>
            <w:r w:rsidRPr="00F07058">
              <w:rPr>
                <w:rFonts w:cs="Arial"/>
                <w:color w:val="000000"/>
                <w:sz w:val="18"/>
                <w:szCs w:val="18"/>
              </w:rPr>
              <w:t xml:space="preserve">Not submitted </w:t>
            </w:r>
            <w:r w:rsidR="008C7B5A">
              <w:rPr>
                <w:rFonts w:cs="Arial"/>
                <w:color w:val="000000"/>
                <w:sz w:val="18"/>
                <w:szCs w:val="18"/>
              </w:rPr>
              <w:t xml:space="preserve">a </w:t>
            </w:r>
            <w:r w:rsidRPr="00F07058">
              <w:rPr>
                <w:rFonts w:cs="Arial"/>
                <w:color w:val="000000"/>
                <w:sz w:val="18"/>
                <w:szCs w:val="18"/>
              </w:rPr>
              <w:t>detailed process and procedure to acquire</w:t>
            </w:r>
            <w:r w:rsidR="008C7B5A">
              <w:rPr>
                <w:rFonts w:cs="Arial"/>
                <w:color w:val="000000"/>
                <w:sz w:val="18"/>
                <w:szCs w:val="18"/>
              </w:rPr>
              <w:t>,</w:t>
            </w:r>
            <w:r w:rsidRPr="00F07058">
              <w:rPr>
                <w:rFonts w:cs="Arial"/>
                <w:color w:val="000000"/>
                <w:sz w:val="18"/>
                <w:szCs w:val="18"/>
              </w:rPr>
              <w:t xml:space="preserve"> issue </w:t>
            </w:r>
            <w:r w:rsidR="008C7B5A" w:rsidRPr="00F07058">
              <w:rPr>
                <w:rFonts w:cs="Arial"/>
                <w:color w:val="000000"/>
                <w:sz w:val="18"/>
                <w:szCs w:val="18"/>
              </w:rPr>
              <w:t xml:space="preserve">and </w:t>
            </w:r>
            <w:r w:rsidR="008C7B5A">
              <w:rPr>
                <w:rFonts w:cs="Arial"/>
                <w:color w:val="000000"/>
                <w:sz w:val="18"/>
                <w:szCs w:val="18"/>
              </w:rPr>
              <w:t xml:space="preserve">re-issue </w:t>
            </w:r>
            <w:r w:rsidRPr="00F07058">
              <w:rPr>
                <w:rFonts w:cs="Arial"/>
                <w:color w:val="000000"/>
                <w:sz w:val="18"/>
                <w:szCs w:val="18"/>
              </w:rPr>
              <w:t xml:space="preserve">uniforms to its </w:t>
            </w:r>
            <w:r w:rsidR="008C7B5A" w:rsidRPr="008C7B5A">
              <w:rPr>
                <w:rFonts w:cs="Arial"/>
                <w:bCs/>
                <w:color w:val="000000"/>
                <w:sz w:val="18"/>
                <w:szCs w:val="18"/>
              </w:rPr>
              <w:t>Security Officers</w:t>
            </w:r>
            <w:r w:rsidR="008C7B5A">
              <w:rPr>
                <w:rFonts w:cs="Arial"/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1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A0010E" w14:textId="77777777" w:rsidR="001575CF" w:rsidRPr="00F07058" w:rsidRDefault="001575CF" w:rsidP="00AD7C35">
            <w:pPr>
              <w:widowControl w:val="0"/>
              <w:spacing w:line="276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F07058">
              <w:rPr>
                <w:rFonts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189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16556522" w14:textId="77777777" w:rsidR="001575CF" w:rsidRPr="00F07058" w:rsidRDefault="001575CF" w:rsidP="004E5E67">
            <w:pPr>
              <w:widowControl w:val="0"/>
              <w:spacing w:line="276" w:lineRule="auto"/>
              <w:jc w:val="both"/>
              <w:rPr>
                <w:rFonts w:cs="Arial"/>
                <w:color w:val="000000"/>
                <w:sz w:val="18"/>
                <w:szCs w:val="18"/>
              </w:rPr>
            </w:pPr>
          </w:p>
          <w:p w14:paraId="65158451" w14:textId="0B952805" w:rsidR="001575CF" w:rsidRPr="00F07058" w:rsidRDefault="001575CF" w:rsidP="004A41E9">
            <w:pPr>
              <w:widowControl w:val="0"/>
              <w:spacing w:line="276" w:lineRule="auto"/>
              <w:jc w:val="both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bCs/>
                <w:color w:val="000000"/>
                <w:sz w:val="18"/>
                <w:szCs w:val="18"/>
              </w:rPr>
              <w:t>A</w:t>
            </w:r>
            <w:r w:rsidRPr="008754DF">
              <w:rPr>
                <w:rFonts w:cs="Arial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cs="Arial"/>
                <w:bCs/>
                <w:color w:val="000000"/>
                <w:sz w:val="18"/>
                <w:szCs w:val="18"/>
              </w:rPr>
              <w:t xml:space="preserve">documented </w:t>
            </w:r>
            <w:r w:rsidRPr="008754DF">
              <w:rPr>
                <w:rFonts w:cs="Arial"/>
                <w:bCs/>
                <w:color w:val="000000"/>
                <w:sz w:val="18"/>
                <w:szCs w:val="18"/>
              </w:rPr>
              <w:t xml:space="preserve">process and procedure to acquire, issue and re-issue uniforms to its </w:t>
            </w:r>
            <w:r w:rsidR="008C7B5A">
              <w:rPr>
                <w:rFonts w:cs="Arial"/>
                <w:bCs/>
                <w:color w:val="000000"/>
                <w:sz w:val="18"/>
                <w:szCs w:val="18"/>
              </w:rPr>
              <w:t>Security Officers</w:t>
            </w:r>
            <w:r w:rsidR="001600B8">
              <w:rPr>
                <w:rFonts w:cs="Arial"/>
                <w:bCs/>
                <w:color w:val="000000"/>
                <w:sz w:val="18"/>
                <w:szCs w:val="18"/>
              </w:rPr>
              <w:t>.</w:t>
            </w:r>
          </w:p>
        </w:tc>
      </w:tr>
      <w:tr w:rsidR="001575CF" w:rsidRPr="00F07058" w14:paraId="37DEE989" w14:textId="77777777" w:rsidTr="00AD7C35">
        <w:trPr>
          <w:trHeight w:val="231"/>
        </w:trPr>
        <w:tc>
          <w:tcPr>
            <w:tcW w:w="102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897064" w14:textId="77777777" w:rsidR="001575CF" w:rsidRPr="00F07058" w:rsidRDefault="001575CF" w:rsidP="001575CF">
            <w:pPr>
              <w:widowControl w:val="0"/>
              <w:spacing w:line="276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67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35A9A005" w14:textId="77777777" w:rsidR="001575CF" w:rsidRPr="00F07058" w:rsidRDefault="001575CF" w:rsidP="001575CF">
            <w:pPr>
              <w:pStyle w:val="Heading1"/>
              <w:keepNext w:val="0"/>
              <w:widowControl w:val="0"/>
              <w:tabs>
                <w:tab w:val="left" w:pos="1843"/>
              </w:tabs>
              <w:spacing w:before="0" w:after="0" w:line="276" w:lineRule="auto"/>
              <w:jc w:val="both"/>
              <w:rPr>
                <w:rFonts w:cs="Arial"/>
                <w:bCs w:val="0"/>
                <w:sz w:val="18"/>
                <w:szCs w:val="18"/>
                <w:lang w:val="en-ZA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6CA4AD" w14:textId="77777777" w:rsidR="001575CF" w:rsidRPr="002C1051" w:rsidRDefault="001575CF">
            <w:pPr>
              <w:widowControl w:val="0"/>
              <w:spacing w:line="276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F657EA" w14:textId="282A6C95" w:rsidR="001575CF" w:rsidRPr="00F07058" w:rsidRDefault="001575CF">
            <w:pPr>
              <w:widowControl w:val="0"/>
              <w:spacing w:line="276" w:lineRule="auto"/>
              <w:jc w:val="both"/>
              <w:rPr>
                <w:rFonts w:cs="Arial"/>
                <w:color w:val="000000"/>
                <w:sz w:val="18"/>
                <w:szCs w:val="18"/>
              </w:rPr>
            </w:pPr>
            <w:r w:rsidRPr="00F07058">
              <w:rPr>
                <w:rFonts w:cs="Arial"/>
                <w:color w:val="000000"/>
                <w:sz w:val="18"/>
                <w:szCs w:val="18"/>
              </w:rPr>
              <w:t xml:space="preserve">Submitted </w:t>
            </w:r>
            <w:r w:rsidR="008C7B5A">
              <w:rPr>
                <w:rFonts w:cs="Arial"/>
                <w:color w:val="000000"/>
                <w:sz w:val="18"/>
                <w:szCs w:val="18"/>
              </w:rPr>
              <w:t xml:space="preserve">a </w:t>
            </w:r>
            <w:r w:rsidRPr="00F07058">
              <w:rPr>
                <w:rFonts w:cs="Arial"/>
                <w:color w:val="000000"/>
                <w:sz w:val="18"/>
                <w:szCs w:val="18"/>
              </w:rPr>
              <w:t>detailed process and procedure to acquire</w:t>
            </w:r>
            <w:r w:rsidR="008C7B5A">
              <w:rPr>
                <w:rFonts w:cs="Arial"/>
                <w:color w:val="000000"/>
                <w:sz w:val="18"/>
                <w:szCs w:val="18"/>
              </w:rPr>
              <w:t>,</w:t>
            </w:r>
            <w:r w:rsidRPr="00F07058">
              <w:rPr>
                <w:rFonts w:cs="Arial"/>
                <w:color w:val="000000"/>
                <w:sz w:val="18"/>
                <w:szCs w:val="18"/>
              </w:rPr>
              <w:t xml:space="preserve"> issue </w:t>
            </w:r>
            <w:r w:rsidR="008C7B5A" w:rsidRPr="00F07058">
              <w:rPr>
                <w:rFonts w:cs="Arial"/>
                <w:color w:val="000000"/>
                <w:sz w:val="18"/>
                <w:szCs w:val="18"/>
              </w:rPr>
              <w:t xml:space="preserve">and </w:t>
            </w:r>
            <w:r w:rsidR="008C7B5A">
              <w:rPr>
                <w:rFonts w:cs="Arial"/>
                <w:color w:val="000000"/>
                <w:sz w:val="18"/>
                <w:szCs w:val="18"/>
              </w:rPr>
              <w:t xml:space="preserve">re-issue </w:t>
            </w:r>
            <w:r w:rsidRPr="00F07058">
              <w:rPr>
                <w:rFonts w:cs="Arial"/>
                <w:color w:val="000000"/>
                <w:sz w:val="18"/>
                <w:szCs w:val="18"/>
              </w:rPr>
              <w:t xml:space="preserve">uniforms to its </w:t>
            </w:r>
            <w:r w:rsidR="008C7B5A" w:rsidRPr="008C7B5A">
              <w:rPr>
                <w:rFonts w:cs="Arial"/>
                <w:color w:val="000000"/>
                <w:sz w:val="18"/>
                <w:szCs w:val="18"/>
              </w:rPr>
              <w:t>Security Officers</w:t>
            </w:r>
            <w:r w:rsidR="008C7B5A"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978865" w14:textId="77777777" w:rsidR="001575CF" w:rsidRPr="00F07058" w:rsidRDefault="001575CF" w:rsidP="00AD7C35">
            <w:pPr>
              <w:widowControl w:val="0"/>
              <w:spacing w:line="276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189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58631B" w14:textId="77777777" w:rsidR="001575CF" w:rsidRDefault="001575CF" w:rsidP="008A6AE6">
            <w:pPr>
              <w:widowControl w:val="0"/>
              <w:spacing w:line="276" w:lineRule="auto"/>
              <w:jc w:val="both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1575CF" w:rsidRPr="00F07058" w14:paraId="152E1EB1" w14:textId="77777777" w:rsidTr="00AD7C35">
        <w:trPr>
          <w:trHeight w:val="285"/>
        </w:trPr>
        <w:tc>
          <w:tcPr>
            <w:tcW w:w="10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B207CE" w14:textId="77777777" w:rsidR="001575CF" w:rsidRPr="00F07058" w:rsidRDefault="001575CF" w:rsidP="001575CF">
            <w:pPr>
              <w:widowControl w:val="0"/>
              <w:spacing w:line="276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3.4</w:t>
            </w:r>
          </w:p>
        </w:tc>
        <w:tc>
          <w:tcPr>
            <w:tcW w:w="567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31E25E47" w14:textId="1C33FD7A" w:rsidR="001575CF" w:rsidRPr="00F07058" w:rsidRDefault="00B37B57" w:rsidP="004A41E9">
            <w:pPr>
              <w:pStyle w:val="Heading1"/>
              <w:keepNext w:val="0"/>
              <w:widowControl w:val="0"/>
              <w:tabs>
                <w:tab w:val="left" w:pos="1843"/>
              </w:tabs>
              <w:spacing w:before="0" w:after="0" w:line="276" w:lineRule="auto"/>
              <w:jc w:val="both"/>
              <w:rPr>
                <w:rFonts w:cs="Arial"/>
                <w:b w:val="0"/>
                <w:bCs w:val="0"/>
                <w:sz w:val="18"/>
                <w:szCs w:val="18"/>
                <w:lang w:val="en-ZA"/>
              </w:rPr>
            </w:pPr>
            <w:r w:rsidRPr="00F07058">
              <w:rPr>
                <w:rFonts w:cs="Arial"/>
                <w:b w:val="0"/>
                <w:bCs w:val="0"/>
                <w:sz w:val="18"/>
                <w:szCs w:val="18"/>
                <w:lang w:val="en-ZA"/>
              </w:rPr>
              <w:t>The</w:t>
            </w:r>
            <w:r w:rsidR="001575CF" w:rsidRPr="00F07058">
              <w:rPr>
                <w:rFonts w:cs="Arial"/>
                <w:b w:val="0"/>
                <w:bCs w:val="0"/>
                <w:sz w:val="18"/>
                <w:szCs w:val="18"/>
                <w:lang w:val="en-ZA"/>
              </w:rPr>
              <w:t xml:space="preserve"> </w:t>
            </w:r>
            <w:r>
              <w:rPr>
                <w:rFonts w:cs="Arial"/>
                <w:b w:val="0"/>
                <w:bCs w:val="0"/>
                <w:sz w:val="18"/>
                <w:szCs w:val="18"/>
                <w:lang w:val="en-ZA"/>
              </w:rPr>
              <w:t>Bidder</w:t>
            </w:r>
            <w:r w:rsidRPr="00F07058">
              <w:rPr>
                <w:rFonts w:cs="Arial"/>
                <w:b w:val="0"/>
                <w:bCs w:val="0"/>
                <w:sz w:val="18"/>
                <w:szCs w:val="18"/>
                <w:lang w:val="en-ZA"/>
              </w:rPr>
              <w:t xml:space="preserve"> </w:t>
            </w:r>
            <w:r>
              <w:rPr>
                <w:rFonts w:cs="Arial"/>
                <w:b w:val="0"/>
                <w:bCs w:val="0"/>
                <w:sz w:val="18"/>
                <w:szCs w:val="18"/>
                <w:lang w:val="en-ZA"/>
              </w:rPr>
              <w:t xml:space="preserve">must </w:t>
            </w:r>
            <w:r w:rsidR="001575CF">
              <w:rPr>
                <w:rFonts w:cs="Arial"/>
                <w:b w:val="0"/>
                <w:bCs w:val="0"/>
                <w:sz w:val="18"/>
                <w:szCs w:val="18"/>
                <w:lang w:val="en-ZA"/>
              </w:rPr>
              <w:t xml:space="preserve">submit </w:t>
            </w:r>
            <w:r w:rsidR="001575CF" w:rsidRPr="003A382E">
              <w:rPr>
                <w:rFonts w:cs="Arial"/>
                <w:b w:val="0"/>
                <w:bCs w:val="0"/>
                <w:sz w:val="18"/>
                <w:szCs w:val="18"/>
                <w:lang w:val="en-ZA"/>
              </w:rPr>
              <w:t xml:space="preserve">a </w:t>
            </w:r>
            <w:r w:rsidR="001575CF" w:rsidRPr="00AD7C35">
              <w:rPr>
                <w:rFonts w:cs="Arial"/>
                <w:b w:val="0"/>
                <w:bCs w:val="0"/>
                <w:sz w:val="18"/>
                <w:szCs w:val="18"/>
                <w:lang w:val="en-ZA"/>
              </w:rPr>
              <w:t>training plan or procedure</w:t>
            </w:r>
            <w:r w:rsidR="001575CF">
              <w:rPr>
                <w:rFonts w:cs="Arial"/>
                <w:b w:val="0"/>
                <w:bCs w:val="0"/>
                <w:sz w:val="18"/>
                <w:szCs w:val="18"/>
                <w:lang w:val="en-ZA"/>
              </w:rPr>
              <w:t xml:space="preserve"> to qualify and re-qualify its</w:t>
            </w:r>
            <w:r w:rsidR="001575CF">
              <w:t xml:space="preserve"> </w:t>
            </w:r>
            <w:r w:rsidR="001575CF" w:rsidRPr="00520507">
              <w:rPr>
                <w:rFonts w:cs="Arial"/>
                <w:b w:val="0"/>
                <w:bCs w:val="0"/>
                <w:sz w:val="18"/>
                <w:szCs w:val="18"/>
                <w:lang w:val="en-ZA"/>
              </w:rPr>
              <w:t>Security Officers</w:t>
            </w:r>
            <w:r w:rsidR="008C7B5A">
              <w:rPr>
                <w:rFonts w:cs="Arial"/>
                <w:b w:val="0"/>
                <w:bCs w:val="0"/>
                <w:sz w:val="18"/>
                <w:szCs w:val="18"/>
                <w:lang w:val="en-ZA"/>
              </w:rPr>
              <w:t>,</w:t>
            </w:r>
            <w:r w:rsidR="001575CF">
              <w:rPr>
                <w:rFonts w:cs="Arial"/>
                <w:b w:val="0"/>
                <w:bCs w:val="0"/>
                <w:sz w:val="18"/>
                <w:szCs w:val="18"/>
                <w:lang w:val="en-ZA"/>
              </w:rPr>
              <w:t xml:space="preserve"> </w:t>
            </w:r>
            <w:r w:rsidR="001575CF" w:rsidRPr="00904EE0">
              <w:rPr>
                <w:rFonts w:cs="Arial"/>
                <w:b w:val="0"/>
                <w:bCs w:val="0"/>
                <w:sz w:val="18"/>
                <w:szCs w:val="18"/>
                <w:lang w:val="en-ZA"/>
              </w:rPr>
              <w:t xml:space="preserve">as prescribed </w:t>
            </w:r>
            <w:r w:rsidR="00DC183D" w:rsidRPr="00904EE0">
              <w:rPr>
                <w:rFonts w:cs="Arial"/>
                <w:b w:val="0"/>
                <w:bCs w:val="0"/>
                <w:sz w:val="18"/>
                <w:szCs w:val="18"/>
                <w:lang w:val="en-ZA"/>
              </w:rPr>
              <w:t>by PSIRA</w:t>
            </w:r>
            <w:r>
              <w:rPr>
                <w:rFonts w:cs="Arial"/>
                <w:b w:val="0"/>
                <w:bCs w:val="0"/>
                <w:sz w:val="18"/>
                <w:szCs w:val="18"/>
                <w:lang w:val="en-ZA"/>
              </w:rPr>
              <w:t>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4787C2" w14:textId="77777777" w:rsidR="001575CF" w:rsidRPr="002C1051" w:rsidRDefault="001575CF" w:rsidP="004E5E67">
            <w:pPr>
              <w:widowControl w:val="0"/>
              <w:spacing w:line="276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2C1051">
              <w:rPr>
                <w:rFonts w:cs="Arial"/>
                <w:b/>
                <w:bCs/>
                <w:color w:val="000000"/>
                <w:sz w:val="18"/>
                <w:szCs w:val="18"/>
              </w:rPr>
              <w:t>5</w:t>
            </w:r>
          </w:p>
        </w:tc>
        <w:tc>
          <w:tcPr>
            <w:tcW w:w="2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2FFFA2" w14:textId="119004DE" w:rsidR="001575CF" w:rsidRPr="00F07058" w:rsidRDefault="001575CF" w:rsidP="00B37B57">
            <w:pPr>
              <w:widowControl w:val="0"/>
              <w:spacing w:line="276" w:lineRule="auto"/>
              <w:jc w:val="both"/>
              <w:rPr>
                <w:rFonts w:cs="Arial"/>
                <w:color w:val="000000"/>
                <w:sz w:val="18"/>
                <w:szCs w:val="18"/>
              </w:rPr>
            </w:pPr>
            <w:r w:rsidRPr="00F07058">
              <w:rPr>
                <w:rFonts w:cs="Arial"/>
                <w:color w:val="000000"/>
                <w:sz w:val="18"/>
                <w:szCs w:val="18"/>
              </w:rPr>
              <w:t xml:space="preserve">Not submitted </w:t>
            </w:r>
            <w:r w:rsidRPr="00A95649">
              <w:rPr>
                <w:rFonts w:cs="Arial"/>
                <w:color w:val="000000"/>
                <w:sz w:val="18"/>
                <w:szCs w:val="18"/>
              </w:rPr>
              <w:t xml:space="preserve">training plan </w:t>
            </w:r>
            <w:r w:rsidR="008C7B5A">
              <w:rPr>
                <w:rFonts w:cs="Arial"/>
                <w:color w:val="000000"/>
                <w:sz w:val="18"/>
                <w:szCs w:val="18"/>
              </w:rPr>
              <w:t>and/</w:t>
            </w:r>
            <w:r w:rsidRPr="00A95649">
              <w:rPr>
                <w:rFonts w:cs="Arial"/>
                <w:color w:val="000000"/>
                <w:sz w:val="18"/>
                <w:szCs w:val="18"/>
              </w:rPr>
              <w:t xml:space="preserve">or procedure 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with </w:t>
            </w:r>
            <w:r w:rsidR="008C7B5A">
              <w:rPr>
                <w:rFonts w:cs="Arial"/>
                <w:color w:val="000000"/>
                <w:sz w:val="18"/>
                <w:szCs w:val="18"/>
              </w:rPr>
              <w:t xml:space="preserve">a </w:t>
            </w:r>
            <w:r>
              <w:rPr>
                <w:rFonts w:cs="Arial"/>
                <w:color w:val="000000"/>
                <w:sz w:val="18"/>
                <w:szCs w:val="18"/>
              </w:rPr>
              <w:t>r</w:t>
            </w:r>
            <w:r w:rsidRPr="00A95649">
              <w:rPr>
                <w:rFonts w:cs="Arial"/>
                <w:color w:val="000000"/>
                <w:sz w:val="18"/>
                <w:szCs w:val="18"/>
              </w:rPr>
              <w:t>efresher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training</w:t>
            </w:r>
            <w:r w:rsidRPr="00A95649">
              <w:rPr>
                <w:rFonts w:cs="Arial"/>
                <w:color w:val="000000"/>
                <w:sz w:val="18"/>
                <w:szCs w:val="18"/>
              </w:rPr>
              <w:t xml:space="preserve"> programme</w:t>
            </w:r>
            <w:r w:rsidR="008C7B5A">
              <w:rPr>
                <w:rFonts w:cs="Arial"/>
                <w:color w:val="000000"/>
                <w:sz w:val="18"/>
                <w:szCs w:val="18"/>
              </w:rPr>
              <w:t>,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as prescribed by</w:t>
            </w:r>
            <w:r w:rsidRPr="00A95649">
              <w:rPr>
                <w:rFonts w:cs="Arial"/>
                <w:color w:val="000000"/>
                <w:sz w:val="18"/>
                <w:szCs w:val="18"/>
              </w:rPr>
              <w:t xml:space="preserve"> PSIRA</w:t>
            </w:r>
            <w:r w:rsidR="008C7B5A">
              <w:rPr>
                <w:rFonts w:cs="Arial"/>
                <w:color w:val="000000"/>
                <w:sz w:val="18"/>
                <w:szCs w:val="18"/>
              </w:rPr>
              <w:t>.</w:t>
            </w:r>
            <w:r w:rsidRPr="00A95649">
              <w:rPr>
                <w:rFonts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6EC1BE" w14:textId="77777777" w:rsidR="001575CF" w:rsidRPr="00F07058" w:rsidRDefault="001575CF" w:rsidP="00AD7C35">
            <w:pPr>
              <w:widowControl w:val="0"/>
              <w:spacing w:line="276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F07058">
              <w:rPr>
                <w:rFonts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189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1F0B7256" w14:textId="40762A5E" w:rsidR="001575CF" w:rsidRPr="00F07058" w:rsidRDefault="001575CF" w:rsidP="00AD7C35">
            <w:pPr>
              <w:widowControl w:val="0"/>
              <w:spacing w:line="276" w:lineRule="auto"/>
              <w:jc w:val="both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bCs/>
                <w:color w:val="000000"/>
                <w:sz w:val="18"/>
                <w:szCs w:val="18"/>
              </w:rPr>
              <w:t>An approved</w:t>
            </w:r>
            <w:r w:rsidRPr="00244E46">
              <w:rPr>
                <w:rFonts w:cs="Arial"/>
                <w:bCs/>
                <w:color w:val="000000"/>
                <w:sz w:val="18"/>
                <w:szCs w:val="18"/>
              </w:rPr>
              <w:t xml:space="preserve"> training plan </w:t>
            </w:r>
            <w:r w:rsidR="008C7B5A" w:rsidRPr="00244E46">
              <w:rPr>
                <w:rFonts w:cs="Arial"/>
                <w:bCs/>
                <w:color w:val="000000"/>
                <w:sz w:val="18"/>
                <w:szCs w:val="18"/>
              </w:rPr>
              <w:t>and</w:t>
            </w:r>
            <w:r w:rsidR="008C7B5A">
              <w:rPr>
                <w:rFonts w:cs="Arial"/>
                <w:bCs/>
                <w:color w:val="000000"/>
                <w:sz w:val="18"/>
                <w:szCs w:val="18"/>
              </w:rPr>
              <w:t>/</w:t>
            </w:r>
            <w:r w:rsidRPr="00244E46">
              <w:rPr>
                <w:rFonts w:cs="Arial"/>
                <w:bCs/>
                <w:color w:val="000000"/>
                <w:sz w:val="18"/>
                <w:szCs w:val="18"/>
              </w:rPr>
              <w:t>or procedure</w:t>
            </w:r>
            <w:r>
              <w:rPr>
                <w:rFonts w:cs="Arial"/>
                <w:bCs/>
                <w:color w:val="000000"/>
                <w:sz w:val="18"/>
                <w:szCs w:val="18"/>
              </w:rPr>
              <w:t xml:space="preserve"> to</w:t>
            </w:r>
            <w:r w:rsidRPr="00244E46">
              <w:rPr>
                <w:rFonts w:cs="Arial"/>
                <w:bCs/>
                <w:color w:val="000000"/>
                <w:sz w:val="18"/>
                <w:szCs w:val="18"/>
              </w:rPr>
              <w:t xml:space="preserve"> qualify and re-qualify it</w:t>
            </w:r>
            <w:r>
              <w:rPr>
                <w:rFonts w:cs="Arial"/>
                <w:bCs/>
                <w:color w:val="000000"/>
                <w:sz w:val="18"/>
                <w:szCs w:val="18"/>
              </w:rPr>
              <w:t>s Security Officers</w:t>
            </w:r>
            <w:r w:rsidR="008C7B5A">
              <w:rPr>
                <w:rFonts w:cs="Arial"/>
                <w:bCs/>
                <w:color w:val="000000"/>
                <w:sz w:val="18"/>
                <w:szCs w:val="18"/>
              </w:rPr>
              <w:t>, as</w:t>
            </w:r>
            <w:r w:rsidRPr="00A3704C">
              <w:rPr>
                <w:rFonts w:cs="Arial"/>
                <w:bCs/>
                <w:color w:val="000000"/>
                <w:sz w:val="18"/>
                <w:szCs w:val="18"/>
              </w:rPr>
              <w:t xml:space="preserve"> prescribed by PSIRA</w:t>
            </w:r>
            <w:r w:rsidR="001600B8">
              <w:rPr>
                <w:rFonts w:cs="Arial"/>
                <w:bCs/>
                <w:color w:val="000000"/>
                <w:sz w:val="18"/>
                <w:szCs w:val="18"/>
              </w:rPr>
              <w:t>.</w:t>
            </w:r>
          </w:p>
        </w:tc>
      </w:tr>
      <w:tr w:rsidR="001575CF" w:rsidRPr="00F07058" w14:paraId="6572F57B" w14:textId="77777777" w:rsidTr="00AD7C35">
        <w:trPr>
          <w:trHeight w:val="282"/>
        </w:trPr>
        <w:tc>
          <w:tcPr>
            <w:tcW w:w="10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5C30CA" w14:textId="77777777" w:rsidR="001575CF" w:rsidRPr="00F07058" w:rsidRDefault="001575CF" w:rsidP="001575CF">
            <w:pPr>
              <w:widowControl w:val="0"/>
              <w:spacing w:line="276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67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C8699B" w14:textId="77777777" w:rsidR="001575CF" w:rsidRPr="00F07058" w:rsidRDefault="001575CF" w:rsidP="001575CF">
            <w:pPr>
              <w:pStyle w:val="Heading1"/>
              <w:keepNext w:val="0"/>
              <w:widowControl w:val="0"/>
              <w:tabs>
                <w:tab w:val="left" w:pos="1843"/>
              </w:tabs>
              <w:spacing w:before="0" w:after="0" w:line="276" w:lineRule="auto"/>
              <w:jc w:val="both"/>
              <w:rPr>
                <w:rFonts w:cs="Arial"/>
                <w:bCs w:val="0"/>
                <w:sz w:val="18"/>
                <w:szCs w:val="18"/>
                <w:lang w:val="en-ZA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88504E" w14:textId="77777777" w:rsidR="001575CF" w:rsidRPr="002C1051" w:rsidRDefault="001575CF">
            <w:pPr>
              <w:widowControl w:val="0"/>
              <w:spacing w:line="276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7D7083" w14:textId="10443F2E" w:rsidR="001575CF" w:rsidRPr="00F07058" w:rsidRDefault="001575CF">
            <w:pPr>
              <w:widowControl w:val="0"/>
              <w:spacing w:line="276" w:lineRule="auto"/>
              <w:jc w:val="both"/>
              <w:rPr>
                <w:sz w:val="18"/>
                <w:szCs w:val="18"/>
              </w:rPr>
            </w:pPr>
            <w:r w:rsidRPr="00F07058">
              <w:rPr>
                <w:sz w:val="18"/>
                <w:szCs w:val="18"/>
              </w:rPr>
              <w:t xml:space="preserve">Submitted </w:t>
            </w:r>
            <w:r>
              <w:rPr>
                <w:sz w:val="18"/>
                <w:szCs w:val="18"/>
              </w:rPr>
              <w:t xml:space="preserve">a </w:t>
            </w:r>
            <w:r w:rsidRPr="00A95649">
              <w:rPr>
                <w:sz w:val="18"/>
                <w:szCs w:val="18"/>
              </w:rPr>
              <w:t xml:space="preserve">training plan </w:t>
            </w:r>
            <w:r w:rsidR="008C7B5A">
              <w:rPr>
                <w:sz w:val="18"/>
                <w:szCs w:val="18"/>
              </w:rPr>
              <w:t>and/</w:t>
            </w:r>
            <w:r w:rsidRPr="00A95649">
              <w:rPr>
                <w:sz w:val="18"/>
                <w:szCs w:val="18"/>
              </w:rPr>
              <w:t>or procedure</w:t>
            </w:r>
            <w:r>
              <w:rPr>
                <w:sz w:val="18"/>
                <w:szCs w:val="18"/>
              </w:rPr>
              <w:t xml:space="preserve"> with </w:t>
            </w:r>
            <w:r w:rsidR="008C7B5A">
              <w:rPr>
                <w:sz w:val="18"/>
                <w:szCs w:val="18"/>
              </w:rPr>
              <w:t xml:space="preserve">a </w:t>
            </w:r>
            <w:r>
              <w:rPr>
                <w:sz w:val="18"/>
                <w:szCs w:val="18"/>
              </w:rPr>
              <w:t>refresher programme</w:t>
            </w:r>
            <w:r w:rsidR="008C7B5A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 xml:space="preserve"> </w:t>
            </w:r>
            <w:r w:rsidRPr="00A95649">
              <w:rPr>
                <w:sz w:val="18"/>
                <w:szCs w:val="18"/>
              </w:rPr>
              <w:t xml:space="preserve">as prescribed by </w:t>
            </w:r>
            <w:r>
              <w:rPr>
                <w:sz w:val="18"/>
                <w:szCs w:val="18"/>
              </w:rPr>
              <w:t>PSIRA</w:t>
            </w:r>
            <w:r w:rsidR="008C7B5A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5249ED" w14:textId="77777777" w:rsidR="001575CF" w:rsidRPr="00F07058" w:rsidRDefault="001575CF" w:rsidP="00AD7C35">
            <w:pPr>
              <w:widowControl w:val="0"/>
              <w:spacing w:line="276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189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EAD825" w14:textId="77777777" w:rsidR="001575CF" w:rsidRDefault="001575CF" w:rsidP="008A6AE6">
            <w:pPr>
              <w:widowControl w:val="0"/>
              <w:spacing w:line="276" w:lineRule="auto"/>
              <w:jc w:val="both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1575CF" w:rsidRPr="00F07058" w14:paraId="78E28AFC" w14:textId="77777777" w:rsidTr="00AD7C35">
        <w:trPr>
          <w:trHeight w:val="300"/>
        </w:trPr>
        <w:tc>
          <w:tcPr>
            <w:tcW w:w="10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405B36" w14:textId="77777777" w:rsidR="001575CF" w:rsidRPr="00F07058" w:rsidRDefault="001575CF" w:rsidP="001575CF">
            <w:pPr>
              <w:widowControl w:val="0"/>
              <w:spacing w:line="276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bookmarkStart w:id="2" w:name="_GoBack" w:colFirst="5" w:colLast="5"/>
            <w:r>
              <w:rPr>
                <w:rFonts w:cs="Arial"/>
                <w:color w:val="000000"/>
                <w:sz w:val="18"/>
                <w:szCs w:val="18"/>
              </w:rPr>
              <w:t>3.5</w:t>
            </w:r>
          </w:p>
        </w:tc>
        <w:tc>
          <w:tcPr>
            <w:tcW w:w="567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6DF7CCD4" w14:textId="5F866159" w:rsidR="001575CF" w:rsidRPr="00F07058" w:rsidRDefault="008C7B5A" w:rsidP="00BF1AC9">
            <w:pPr>
              <w:pStyle w:val="Heading1"/>
              <w:keepNext w:val="0"/>
              <w:widowControl w:val="0"/>
              <w:tabs>
                <w:tab w:val="left" w:pos="1843"/>
              </w:tabs>
              <w:spacing w:before="0" w:after="0" w:line="276" w:lineRule="auto"/>
              <w:jc w:val="both"/>
              <w:rPr>
                <w:rFonts w:cs="Arial"/>
                <w:b w:val="0"/>
                <w:bCs w:val="0"/>
                <w:sz w:val="18"/>
                <w:szCs w:val="18"/>
                <w:lang w:val="en-ZA"/>
              </w:rPr>
            </w:pPr>
            <w:r w:rsidRPr="00F07058">
              <w:rPr>
                <w:rFonts w:cs="Arial"/>
                <w:b w:val="0"/>
                <w:bCs w:val="0"/>
                <w:sz w:val="18"/>
                <w:szCs w:val="18"/>
                <w:lang w:val="en-ZA"/>
              </w:rPr>
              <w:t>The</w:t>
            </w:r>
            <w:r w:rsidR="001575CF" w:rsidRPr="00F07058">
              <w:rPr>
                <w:rFonts w:cs="Arial"/>
                <w:b w:val="0"/>
                <w:bCs w:val="0"/>
                <w:sz w:val="18"/>
                <w:szCs w:val="18"/>
                <w:lang w:val="en-ZA"/>
              </w:rPr>
              <w:t xml:space="preserve"> </w:t>
            </w:r>
            <w:r w:rsidR="00B37B57">
              <w:rPr>
                <w:rFonts w:cs="Arial"/>
                <w:b w:val="0"/>
                <w:bCs w:val="0"/>
                <w:sz w:val="18"/>
                <w:szCs w:val="18"/>
                <w:lang w:val="en-ZA"/>
              </w:rPr>
              <w:t>Bidder</w:t>
            </w:r>
            <w:r>
              <w:rPr>
                <w:rFonts w:cs="Arial"/>
                <w:b w:val="0"/>
                <w:bCs w:val="0"/>
                <w:sz w:val="18"/>
                <w:szCs w:val="18"/>
                <w:lang w:val="en-ZA"/>
              </w:rPr>
              <w:t xml:space="preserve"> must detail its</w:t>
            </w:r>
            <w:r w:rsidR="00B37B57" w:rsidRPr="00F07058">
              <w:rPr>
                <w:rFonts w:cs="Arial"/>
                <w:b w:val="0"/>
                <w:bCs w:val="0"/>
                <w:sz w:val="18"/>
                <w:szCs w:val="18"/>
                <w:lang w:val="en-ZA"/>
              </w:rPr>
              <w:t xml:space="preserve"> </w:t>
            </w:r>
            <w:r w:rsidRPr="00AD7C35">
              <w:rPr>
                <w:rFonts w:cs="Arial"/>
                <w:b w:val="0"/>
                <w:bCs w:val="0"/>
                <w:sz w:val="18"/>
                <w:szCs w:val="18"/>
                <w:lang w:val="en-ZA"/>
              </w:rPr>
              <w:t>disciplinary</w:t>
            </w:r>
            <w:r w:rsidR="001575CF" w:rsidRPr="00AD7C35">
              <w:rPr>
                <w:rFonts w:cs="Arial"/>
                <w:b w:val="0"/>
                <w:bCs w:val="0"/>
                <w:sz w:val="18"/>
                <w:szCs w:val="18"/>
                <w:lang w:val="en-ZA"/>
              </w:rPr>
              <w:t xml:space="preserve"> procedures</w:t>
            </w:r>
            <w:r w:rsidR="001575CF" w:rsidRPr="00F07058">
              <w:rPr>
                <w:rFonts w:cs="Arial"/>
                <w:b w:val="0"/>
                <w:bCs w:val="0"/>
                <w:sz w:val="18"/>
                <w:szCs w:val="18"/>
                <w:lang w:val="en-ZA"/>
              </w:rPr>
              <w:t xml:space="preserve"> </w:t>
            </w:r>
            <w:r w:rsidRPr="00F07058">
              <w:rPr>
                <w:rFonts w:cs="Arial"/>
                <w:b w:val="0"/>
                <w:bCs w:val="0"/>
                <w:sz w:val="18"/>
                <w:szCs w:val="18"/>
                <w:lang w:val="en-ZA"/>
              </w:rPr>
              <w:t>(disciplinary, appeal and dismissal processes)</w:t>
            </w:r>
            <w:r w:rsidR="00C1203F">
              <w:rPr>
                <w:rFonts w:cs="Arial"/>
                <w:b w:val="0"/>
                <w:bCs w:val="0"/>
                <w:sz w:val="18"/>
                <w:szCs w:val="18"/>
                <w:lang w:val="en-ZA"/>
              </w:rPr>
              <w:t xml:space="preserve"> </w:t>
            </w:r>
            <w:r w:rsidR="001575CF" w:rsidRPr="00F07058">
              <w:rPr>
                <w:rFonts w:cs="Arial"/>
                <w:b w:val="0"/>
                <w:bCs w:val="0"/>
                <w:sz w:val="18"/>
                <w:szCs w:val="18"/>
                <w:lang w:val="en-ZA"/>
              </w:rPr>
              <w:t xml:space="preserve">to address </w:t>
            </w:r>
            <w:r w:rsidR="001575CF">
              <w:rPr>
                <w:rFonts w:cs="Arial"/>
                <w:b w:val="0"/>
                <w:bCs w:val="0"/>
                <w:sz w:val="18"/>
                <w:szCs w:val="18"/>
                <w:lang w:val="en-ZA"/>
              </w:rPr>
              <w:t>unacceptable behaviour</w:t>
            </w:r>
            <w:r>
              <w:rPr>
                <w:rFonts w:cs="Arial"/>
                <w:b w:val="0"/>
                <w:bCs w:val="0"/>
                <w:sz w:val="18"/>
                <w:szCs w:val="18"/>
                <w:lang w:val="en-ZA"/>
              </w:rPr>
              <w:t xml:space="preserve"> of its Security Officers.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79D348" w14:textId="77777777" w:rsidR="001575CF" w:rsidRPr="002C1051" w:rsidRDefault="001575CF" w:rsidP="004E5E67">
            <w:pPr>
              <w:widowControl w:val="0"/>
              <w:spacing w:line="276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2C1051">
              <w:rPr>
                <w:rFonts w:cs="Arial"/>
                <w:b/>
                <w:bCs/>
                <w:color w:val="000000"/>
                <w:sz w:val="18"/>
                <w:szCs w:val="18"/>
              </w:rPr>
              <w:t>5</w:t>
            </w:r>
          </w:p>
        </w:tc>
        <w:tc>
          <w:tcPr>
            <w:tcW w:w="2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AB4B26" w14:textId="6F9057B8" w:rsidR="001575CF" w:rsidRPr="00F07058" w:rsidRDefault="001575CF" w:rsidP="004A41E9">
            <w:pPr>
              <w:widowControl w:val="0"/>
              <w:spacing w:line="276" w:lineRule="auto"/>
              <w:jc w:val="both"/>
              <w:rPr>
                <w:rFonts w:cs="Arial"/>
                <w:color w:val="000000"/>
                <w:sz w:val="18"/>
                <w:szCs w:val="18"/>
              </w:rPr>
            </w:pPr>
            <w:r w:rsidRPr="00F07058">
              <w:rPr>
                <w:rFonts w:cs="Arial"/>
                <w:color w:val="000000"/>
                <w:sz w:val="18"/>
                <w:szCs w:val="18"/>
              </w:rPr>
              <w:t xml:space="preserve">Not submitted </w:t>
            </w:r>
            <w:r w:rsidR="00C1203F" w:rsidRPr="00F07058">
              <w:rPr>
                <w:rFonts w:cs="Arial"/>
                <w:color w:val="000000"/>
                <w:sz w:val="18"/>
                <w:szCs w:val="18"/>
              </w:rPr>
              <w:t>disciplinary</w:t>
            </w:r>
            <w:r w:rsidRPr="00F07058">
              <w:rPr>
                <w:rFonts w:cs="Arial"/>
                <w:color w:val="000000"/>
                <w:sz w:val="18"/>
                <w:szCs w:val="18"/>
              </w:rPr>
              <w:t xml:space="preserve"> procedures </w:t>
            </w:r>
            <w:r w:rsidR="00C1203F" w:rsidRPr="00F07058">
              <w:rPr>
                <w:rFonts w:cs="Arial"/>
                <w:color w:val="000000"/>
                <w:sz w:val="18"/>
                <w:szCs w:val="18"/>
              </w:rPr>
              <w:t>(disciplinary, appeal and dismissal processes)</w:t>
            </w:r>
            <w:r w:rsidR="00C1203F"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 w:rsidRPr="00F07058">
              <w:rPr>
                <w:rFonts w:cs="Arial"/>
                <w:color w:val="000000"/>
                <w:sz w:val="18"/>
                <w:szCs w:val="18"/>
              </w:rPr>
              <w:t xml:space="preserve">that addresses </w:t>
            </w:r>
            <w:r w:rsidR="00C1203F" w:rsidRPr="00C1203F">
              <w:rPr>
                <w:rFonts w:cs="Arial"/>
                <w:bCs/>
                <w:color w:val="000000"/>
                <w:sz w:val="18"/>
                <w:szCs w:val="18"/>
              </w:rPr>
              <w:t xml:space="preserve">unacceptable </w:t>
            </w:r>
            <w:r w:rsidR="00C1203F" w:rsidRPr="00C1203F">
              <w:rPr>
                <w:rFonts w:cs="Arial"/>
                <w:bCs/>
                <w:color w:val="000000"/>
                <w:sz w:val="18"/>
                <w:szCs w:val="18"/>
              </w:rPr>
              <w:lastRenderedPageBreak/>
              <w:t>behaviour of its Security Officers</w:t>
            </w:r>
            <w:r w:rsidR="00C1203F"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6EAA0D" w14:textId="77777777" w:rsidR="001575CF" w:rsidRPr="00F07058" w:rsidRDefault="001575CF" w:rsidP="00AD7C35">
            <w:pPr>
              <w:widowControl w:val="0"/>
              <w:spacing w:line="276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F07058">
              <w:rPr>
                <w:rFonts w:cs="Arial"/>
                <w:color w:val="000000"/>
                <w:sz w:val="18"/>
                <w:szCs w:val="18"/>
              </w:rPr>
              <w:lastRenderedPageBreak/>
              <w:t>0</w:t>
            </w:r>
          </w:p>
        </w:tc>
        <w:tc>
          <w:tcPr>
            <w:tcW w:w="189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087E85E0" w14:textId="1F8BF507" w:rsidR="001575CF" w:rsidRPr="00F07058" w:rsidRDefault="001575CF" w:rsidP="004A41E9">
            <w:pPr>
              <w:widowControl w:val="0"/>
              <w:spacing w:line="276" w:lineRule="auto"/>
              <w:jc w:val="both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bCs/>
                <w:color w:val="000000"/>
                <w:sz w:val="18"/>
                <w:szCs w:val="18"/>
              </w:rPr>
              <w:t xml:space="preserve">A </w:t>
            </w:r>
            <w:r w:rsidR="00C1203F" w:rsidRPr="00D1746C">
              <w:rPr>
                <w:rFonts w:cs="Arial"/>
                <w:bCs/>
                <w:color w:val="000000"/>
                <w:sz w:val="18"/>
                <w:szCs w:val="18"/>
              </w:rPr>
              <w:t>disciplinary procedure</w:t>
            </w:r>
            <w:r w:rsidR="00C1203F">
              <w:rPr>
                <w:rFonts w:cs="Arial"/>
                <w:bCs/>
                <w:color w:val="000000"/>
                <w:sz w:val="18"/>
                <w:szCs w:val="18"/>
              </w:rPr>
              <w:t xml:space="preserve"> </w:t>
            </w:r>
            <w:r w:rsidR="00C1203F" w:rsidRPr="004A41E9">
              <w:rPr>
                <w:rFonts w:cs="Arial"/>
                <w:bCs/>
                <w:color w:val="000000"/>
                <w:sz w:val="18"/>
                <w:szCs w:val="18"/>
              </w:rPr>
              <w:t>(</w:t>
            </w:r>
            <w:r w:rsidR="00C1203F" w:rsidRPr="00AD7C35">
              <w:rPr>
                <w:rFonts w:cs="Arial"/>
                <w:bCs/>
                <w:color w:val="000000"/>
                <w:sz w:val="18"/>
                <w:szCs w:val="18"/>
              </w:rPr>
              <w:t>disciplinary, appeal and dismissal processes</w:t>
            </w:r>
            <w:r w:rsidR="00C1203F" w:rsidRPr="004A41E9">
              <w:rPr>
                <w:rFonts w:cs="Arial"/>
                <w:bCs/>
                <w:color w:val="000000"/>
                <w:sz w:val="18"/>
                <w:szCs w:val="18"/>
              </w:rPr>
              <w:t>)</w:t>
            </w:r>
            <w:r w:rsidRPr="00D1746C">
              <w:rPr>
                <w:rFonts w:cs="Arial"/>
                <w:bCs/>
                <w:color w:val="000000"/>
                <w:sz w:val="18"/>
                <w:szCs w:val="18"/>
              </w:rPr>
              <w:t xml:space="preserve"> to </w:t>
            </w:r>
            <w:r w:rsidRPr="00D1746C">
              <w:rPr>
                <w:rFonts w:cs="Arial"/>
                <w:bCs/>
                <w:color w:val="000000"/>
                <w:sz w:val="18"/>
                <w:szCs w:val="18"/>
              </w:rPr>
              <w:lastRenderedPageBreak/>
              <w:t xml:space="preserve">address </w:t>
            </w:r>
            <w:r>
              <w:rPr>
                <w:rFonts w:cs="Arial"/>
                <w:bCs/>
                <w:color w:val="000000"/>
                <w:sz w:val="18"/>
                <w:szCs w:val="18"/>
              </w:rPr>
              <w:t>unacceptable behaviour</w:t>
            </w:r>
            <w:r w:rsidR="00C1203F">
              <w:rPr>
                <w:rFonts w:cs="Arial"/>
                <w:bCs/>
                <w:color w:val="000000"/>
                <w:sz w:val="18"/>
                <w:szCs w:val="18"/>
              </w:rPr>
              <w:t xml:space="preserve"> of its Security Officers.</w:t>
            </w:r>
          </w:p>
        </w:tc>
      </w:tr>
      <w:bookmarkEnd w:id="2"/>
      <w:tr w:rsidR="001575CF" w:rsidRPr="00F07058" w14:paraId="4C4A0F58" w14:textId="77777777" w:rsidTr="00AD7C35">
        <w:trPr>
          <w:trHeight w:val="267"/>
        </w:trPr>
        <w:tc>
          <w:tcPr>
            <w:tcW w:w="10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FAD09F" w14:textId="77777777" w:rsidR="001575CF" w:rsidRPr="00F07058" w:rsidRDefault="001575CF" w:rsidP="001575CF">
            <w:pPr>
              <w:widowControl w:val="0"/>
              <w:spacing w:line="276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67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222CF8" w14:textId="77777777" w:rsidR="001575CF" w:rsidRPr="00F07058" w:rsidRDefault="001575CF" w:rsidP="001575CF">
            <w:pPr>
              <w:pStyle w:val="Heading1"/>
              <w:keepNext w:val="0"/>
              <w:widowControl w:val="0"/>
              <w:tabs>
                <w:tab w:val="left" w:pos="1843"/>
              </w:tabs>
              <w:spacing w:before="0" w:after="0" w:line="276" w:lineRule="auto"/>
              <w:jc w:val="both"/>
              <w:rPr>
                <w:rFonts w:cs="Arial"/>
                <w:bCs w:val="0"/>
                <w:sz w:val="18"/>
                <w:szCs w:val="18"/>
                <w:lang w:val="en-ZA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23EB55" w14:textId="77777777" w:rsidR="001575CF" w:rsidRPr="002C1051" w:rsidRDefault="001575CF">
            <w:pPr>
              <w:widowControl w:val="0"/>
              <w:spacing w:line="276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07C910" w14:textId="5970F0D8" w:rsidR="001575CF" w:rsidRPr="004A41E9" w:rsidRDefault="001575CF">
            <w:pPr>
              <w:widowControl w:val="0"/>
              <w:spacing w:line="276" w:lineRule="auto"/>
              <w:jc w:val="both"/>
              <w:rPr>
                <w:sz w:val="18"/>
                <w:szCs w:val="18"/>
              </w:rPr>
            </w:pPr>
            <w:r w:rsidRPr="004A41E9">
              <w:rPr>
                <w:sz w:val="18"/>
                <w:szCs w:val="18"/>
              </w:rPr>
              <w:t>Submitted</w:t>
            </w:r>
            <w:r w:rsidR="00C1203F" w:rsidRPr="004A41E9">
              <w:rPr>
                <w:sz w:val="18"/>
                <w:szCs w:val="18"/>
              </w:rPr>
              <w:t xml:space="preserve"> disciplinary procedures (</w:t>
            </w:r>
            <w:r w:rsidR="00C1203F" w:rsidRPr="00AD7C35">
              <w:rPr>
                <w:sz w:val="18"/>
                <w:szCs w:val="18"/>
              </w:rPr>
              <w:t>disciplinary, appeal and dismissal processes</w:t>
            </w:r>
            <w:r w:rsidR="00C1203F" w:rsidRPr="004A41E9">
              <w:rPr>
                <w:sz w:val="18"/>
                <w:szCs w:val="18"/>
              </w:rPr>
              <w:t xml:space="preserve">) </w:t>
            </w:r>
            <w:r w:rsidRPr="004A41E9">
              <w:rPr>
                <w:sz w:val="18"/>
                <w:szCs w:val="18"/>
              </w:rPr>
              <w:t xml:space="preserve">that addresses </w:t>
            </w:r>
            <w:r w:rsidR="00C1203F" w:rsidRPr="00C1203F">
              <w:rPr>
                <w:sz w:val="18"/>
                <w:szCs w:val="18"/>
              </w:rPr>
              <w:t>unacceptable behaviour of its Security Officers</w:t>
            </w:r>
            <w:r w:rsidR="00C1203F" w:rsidRPr="004A41E9">
              <w:rPr>
                <w:sz w:val="18"/>
                <w:szCs w:val="18"/>
              </w:rPr>
              <w:t>.</w:t>
            </w:r>
          </w:p>
        </w:tc>
        <w:tc>
          <w:tcPr>
            <w:tcW w:w="1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B93298" w14:textId="77777777" w:rsidR="001575CF" w:rsidRPr="00F07058" w:rsidRDefault="001575CF" w:rsidP="00AD7C35">
            <w:pPr>
              <w:widowControl w:val="0"/>
              <w:spacing w:line="276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189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D6CB81" w14:textId="77777777" w:rsidR="001575CF" w:rsidRDefault="001575CF" w:rsidP="008A6AE6">
            <w:pPr>
              <w:widowControl w:val="0"/>
              <w:spacing w:line="276" w:lineRule="auto"/>
              <w:jc w:val="both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1575CF" w:rsidRPr="00F07058" w14:paraId="40D983A5" w14:textId="77777777" w:rsidTr="00AD7C35">
        <w:trPr>
          <w:trHeight w:val="267"/>
        </w:trPr>
        <w:tc>
          <w:tcPr>
            <w:tcW w:w="10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3B89FF" w14:textId="77777777" w:rsidR="001575CF" w:rsidRPr="00F07058" w:rsidRDefault="001575CF" w:rsidP="001575CF">
            <w:pPr>
              <w:widowControl w:val="0"/>
              <w:spacing w:line="276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3.6</w:t>
            </w:r>
          </w:p>
        </w:tc>
        <w:tc>
          <w:tcPr>
            <w:tcW w:w="567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1729CC1D" w14:textId="081A1C8B" w:rsidR="001575CF" w:rsidRPr="003A382E" w:rsidRDefault="008C7B5A" w:rsidP="004A41E9">
            <w:pPr>
              <w:pStyle w:val="Heading1"/>
              <w:keepNext w:val="0"/>
              <w:widowControl w:val="0"/>
              <w:tabs>
                <w:tab w:val="left" w:pos="1843"/>
              </w:tabs>
              <w:spacing w:before="0" w:after="0" w:line="276" w:lineRule="auto"/>
              <w:jc w:val="both"/>
              <w:rPr>
                <w:rFonts w:cs="Arial"/>
                <w:b w:val="0"/>
                <w:bCs w:val="0"/>
                <w:sz w:val="18"/>
                <w:szCs w:val="18"/>
                <w:lang w:val="en-ZA"/>
              </w:rPr>
            </w:pPr>
            <w:r w:rsidRPr="003A382E">
              <w:rPr>
                <w:rFonts w:cs="Arial"/>
                <w:b w:val="0"/>
                <w:bCs w:val="0"/>
                <w:sz w:val="18"/>
                <w:szCs w:val="18"/>
                <w:lang w:val="en-ZA"/>
              </w:rPr>
              <w:t>The</w:t>
            </w:r>
            <w:r w:rsidR="001575CF" w:rsidRPr="003A382E">
              <w:rPr>
                <w:rFonts w:cs="Arial"/>
                <w:b w:val="0"/>
                <w:bCs w:val="0"/>
                <w:sz w:val="18"/>
                <w:szCs w:val="18"/>
                <w:lang w:val="en-ZA"/>
              </w:rPr>
              <w:t xml:space="preserve"> </w:t>
            </w:r>
            <w:r w:rsidR="00B37B57">
              <w:rPr>
                <w:rFonts w:cs="Arial"/>
                <w:b w:val="0"/>
                <w:bCs w:val="0"/>
                <w:sz w:val="18"/>
                <w:szCs w:val="18"/>
                <w:lang w:val="en-ZA"/>
              </w:rPr>
              <w:t>Bidder</w:t>
            </w:r>
            <w:r w:rsidR="001575CF" w:rsidRPr="003A382E">
              <w:rPr>
                <w:rFonts w:cs="Arial"/>
                <w:b w:val="0"/>
                <w:bCs w:val="0"/>
                <w:sz w:val="18"/>
                <w:szCs w:val="18"/>
                <w:lang w:val="en-ZA"/>
              </w:rPr>
              <w:t xml:space="preserve"> </w:t>
            </w:r>
            <w:r w:rsidR="00C1203F">
              <w:rPr>
                <w:rFonts w:cs="Arial"/>
                <w:b w:val="0"/>
                <w:bCs w:val="0"/>
                <w:sz w:val="18"/>
                <w:szCs w:val="18"/>
                <w:lang w:val="en-ZA"/>
              </w:rPr>
              <w:t>must describe the</w:t>
            </w:r>
            <w:r w:rsidR="001575CF" w:rsidRPr="003A382E">
              <w:rPr>
                <w:rFonts w:cs="Arial"/>
                <w:b w:val="0"/>
                <w:bCs w:val="0"/>
                <w:sz w:val="18"/>
                <w:szCs w:val="18"/>
                <w:lang w:val="en-ZA"/>
              </w:rPr>
              <w:t xml:space="preserve"> </w:t>
            </w:r>
            <w:r w:rsidR="001575CF" w:rsidRPr="00AD7C35">
              <w:rPr>
                <w:rFonts w:cs="Arial"/>
                <w:b w:val="0"/>
                <w:bCs w:val="0"/>
                <w:sz w:val="18"/>
                <w:szCs w:val="18"/>
                <w:lang w:val="en-ZA"/>
              </w:rPr>
              <w:t>management structure</w:t>
            </w:r>
            <w:r w:rsidR="001575CF" w:rsidRPr="003A382E">
              <w:rPr>
                <w:rFonts w:cs="Arial"/>
                <w:b w:val="0"/>
                <w:bCs w:val="0"/>
                <w:sz w:val="18"/>
                <w:szCs w:val="18"/>
                <w:lang w:val="en-ZA"/>
              </w:rPr>
              <w:t xml:space="preserve"> to support the </w:t>
            </w:r>
            <w:r w:rsidR="00C1203F" w:rsidRPr="003A382E">
              <w:rPr>
                <w:rFonts w:cs="Arial"/>
                <w:b w:val="0"/>
                <w:bCs w:val="0"/>
                <w:sz w:val="18"/>
                <w:szCs w:val="18"/>
                <w:lang w:val="en-ZA"/>
              </w:rPr>
              <w:t>Service</w:t>
            </w:r>
            <w:r w:rsidR="00C1203F">
              <w:rPr>
                <w:rFonts w:cs="Arial"/>
                <w:b w:val="0"/>
                <w:bCs w:val="0"/>
                <w:sz w:val="18"/>
                <w:szCs w:val="18"/>
                <w:lang w:val="en-ZA"/>
              </w:rPr>
              <w:t>s provided to SARS.</w:t>
            </w:r>
            <w:r w:rsidR="001575CF" w:rsidRPr="003A382E">
              <w:rPr>
                <w:rFonts w:cs="Arial"/>
                <w:b w:val="0"/>
                <w:bCs w:val="0"/>
                <w:sz w:val="18"/>
                <w:szCs w:val="18"/>
                <w:lang w:val="en-ZA"/>
              </w:rPr>
              <w:t xml:space="preserve"> 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882B29" w14:textId="77777777" w:rsidR="001575CF" w:rsidRPr="002C1051" w:rsidRDefault="001575CF" w:rsidP="004E5E67">
            <w:pPr>
              <w:widowControl w:val="0"/>
              <w:spacing w:line="276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2C1051">
              <w:rPr>
                <w:rFonts w:cs="Arial"/>
                <w:b/>
                <w:bCs/>
                <w:color w:val="000000"/>
                <w:sz w:val="18"/>
                <w:szCs w:val="18"/>
              </w:rPr>
              <w:t>5</w:t>
            </w:r>
          </w:p>
        </w:tc>
        <w:tc>
          <w:tcPr>
            <w:tcW w:w="2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EC8755" w14:textId="6CC5B23F" w:rsidR="001575CF" w:rsidRPr="00F07058" w:rsidRDefault="001575CF" w:rsidP="004A41E9">
            <w:pPr>
              <w:widowControl w:val="0"/>
              <w:spacing w:line="276" w:lineRule="auto"/>
              <w:jc w:val="both"/>
              <w:rPr>
                <w:rFonts w:cs="Arial"/>
                <w:color w:val="000000"/>
                <w:sz w:val="18"/>
                <w:szCs w:val="18"/>
              </w:rPr>
            </w:pPr>
            <w:r w:rsidRPr="00F07058">
              <w:rPr>
                <w:rFonts w:cs="Arial"/>
                <w:color w:val="000000"/>
                <w:sz w:val="18"/>
                <w:szCs w:val="18"/>
              </w:rPr>
              <w:t>Not submitted</w:t>
            </w:r>
            <w:r w:rsidRPr="00F07058">
              <w:rPr>
                <w:sz w:val="18"/>
                <w:szCs w:val="18"/>
              </w:rPr>
              <w:t xml:space="preserve"> </w:t>
            </w:r>
            <w:r w:rsidRPr="00F07058">
              <w:rPr>
                <w:rFonts w:cs="Arial"/>
                <w:color w:val="000000"/>
                <w:sz w:val="18"/>
                <w:szCs w:val="18"/>
              </w:rPr>
              <w:t xml:space="preserve">management structure to support the </w:t>
            </w:r>
            <w:r w:rsidR="00C1203F" w:rsidRPr="00F07058">
              <w:rPr>
                <w:rFonts w:cs="Arial"/>
                <w:color w:val="000000"/>
                <w:sz w:val="18"/>
                <w:szCs w:val="18"/>
              </w:rPr>
              <w:t>Service</w:t>
            </w:r>
            <w:r w:rsidR="00C1203F">
              <w:rPr>
                <w:rFonts w:cs="Arial"/>
                <w:color w:val="000000"/>
                <w:sz w:val="18"/>
                <w:szCs w:val="18"/>
              </w:rPr>
              <w:t>s.</w:t>
            </w:r>
          </w:p>
        </w:tc>
        <w:tc>
          <w:tcPr>
            <w:tcW w:w="1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108DA4" w14:textId="77777777" w:rsidR="001575CF" w:rsidRPr="00F07058" w:rsidRDefault="001575CF" w:rsidP="00AD7C35">
            <w:pPr>
              <w:widowControl w:val="0"/>
              <w:spacing w:line="276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F07058">
              <w:rPr>
                <w:rFonts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189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7E16842C" w14:textId="77540C1A" w:rsidR="001575CF" w:rsidRPr="00F07058" w:rsidRDefault="00C1203F" w:rsidP="004A41E9">
            <w:pPr>
              <w:widowControl w:val="0"/>
              <w:spacing w:line="276" w:lineRule="auto"/>
              <w:jc w:val="both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bCs/>
                <w:color w:val="000000"/>
                <w:sz w:val="18"/>
                <w:szCs w:val="18"/>
              </w:rPr>
              <w:t>Description of the</w:t>
            </w:r>
            <w:r w:rsidR="001575CF">
              <w:rPr>
                <w:rFonts w:cs="Arial"/>
                <w:bCs/>
                <w:color w:val="000000"/>
                <w:sz w:val="18"/>
                <w:szCs w:val="18"/>
              </w:rPr>
              <w:t xml:space="preserve"> Bidder’s </w:t>
            </w:r>
            <w:r w:rsidR="001575CF" w:rsidRPr="008C61E6">
              <w:rPr>
                <w:rFonts w:cs="Arial"/>
                <w:bCs/>
                <w:color w:val="000000"/>
                <w:sz w:val="18"/>
                <w:szCs w:val="18"/>
              </w:rPr>
              <w:t>management structure</w:t>
            </w:r>
            <w:r>
              <w:t xml:space="preserve"> </w:t>
            </w:r>
            <w:r w:rsidRPr="00C1203F">
              <w:rPr>
                <w:rFonts w:cs="Arial"/>
                <w:bCs/>
                <w:color w:val="000000"/>
                <w:sz w:val="18"/>
                <w:szCs w:val="18"/>
              </w:rPr>
              <w:t>to support the Services provided to SARS.</w:t>
            </w:r>
          </w:p>
        </w:tc>
      </w:tr>
      <w:tr w:rsidR="001575CF" w:rsidRPr="00F07058" w14:paraId="24253C44" w14:textId="77777777" w:rsidTr="00AD7C35">
        <w:trPr>
          <w:trHeight w:val="300"/>
        </w:trPr>
        <w:tc>
          <w:tcPr>
            <w:tcW w:w="10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9C2DED" w14:textId="77777777" w:rsidR="001575CF" w:rsidRPr="00F07058" w:rsidRDefault="001575CF" w:rsidP="001575CF">
            <w:pPr>
              <w:widowControl w:val="0"/>
              <w:spacing w:line="276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67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9AC6E5" w14:textId="77777777" w:rsidR="001575CF" w:rsidRPr="003A382E" w:rsidRDefault="001575CF" w:rsidP="001575CF">
            <w:pPr>
              <w:pStyle w:val="Heading1"/>
              <w:keepNext w:val="0"/>
              <w:widowControl w:val="0"/>
              <w:tabs>
                <w:tab w:val="left" w:pos="1843"/>
              </w:tabs>
              <w:spacing w:before="0" w:after="0" w:line="276" w:lineRule="auto"/>
              <w:jc w:val="both"/>
              <w:rPr>
                <w:rFonts w:cs="Arial"/>
                <w:b w:val="0"/>
                <w:bCs w:val="0"/>
                <w:sz w:val="18"/>
                <w:szCs w:val="18"/>
                <w:lang w:val="en-ZA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CD2B50" w14:textId="77777777" w:rsidR="001575CF" w:rsidRPr="002C1051" w:rsidRDefault="001575CF">
            <w:pPr>
              <w:widowControl w:val="0"/>
              <w:spacing w:line="276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037A06" w14:textId="6E612CF7" w:rsidR="001575CF" w:rsidRPr="00F07058" w:rsidRDefault="001575CF">
            <w:pPr>
              <w:widowControl w:val="0"/>
              <w:spacing w:line="276" w:lineRule="auto"/>
              <w:jc w:val="both"/>
              <w:rPr>
                <w:sz w:val="18"/>
                <w:szCs w:val="18"/>
              </w:rPr>
            </w:pPr>
            <w:r w:rsidRPr="00F07058">
              <w:rPr>
                <w:sz w:val="18"/>
                <w:szCs w:val="18"/>
              </w:rPr>
              <w:t xml:space="preserve">Submitted management structure to support the </w:t>
            </w:r>
            <w:r w:rsidR="00C1203F" w:rsidRPr="00F07058">
              <w:rPr>
                <w:sz w:val="18"/>
                <w:szCs w:val="18"/>
              </w:rPr>
              <w:t>Service</w:t>
            </w:r>
            <w:r w:rsidR="00C1203F">
              <w:rPr>
                <w:sz w:val="18"/>
                <w:szCs w:val="18"/>
              </w:rPr>
              <w:t>s.</w:t>
            </w:r>
          </w:p>
        </w:tc>
        <w:tc>
          <w:tcPr>
            <w:tcW w:w="1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6D0979" w14:textId="77777777" w:rsidR="001575CF" w:rsidRPr="00F07058" w:rsidRDefault="001575CF" w:rsidP="00AD7C35">
            <w:pPr>
              <w:widowControl w:val="0"/>
              <w:spacing w:line="276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189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116A3B" w14:textId="77777777" w:rsidR="001575CF" w:rsidRDefault="001575CF" w:rsidP="008A6AE6">
            <w:pPr>
              <w:widowControl w:val="0"/>
              <w:spacing w:line="276" w:lineRule="auto"/>
              <w:jc w:val="both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1575CF" w:rsidRPr="00F07058" w14:paraId="54290AEB" w14:textId="77777777" w:rsidTr="00AD7C35">
        <w:trPr>
          <w:trHeight w:val="147"/>
        </w:trPr>
        <w:tc>
          <w:tcPr>
            <w:tcW w:w="10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85C695" w14:textId="77777777" w:rsidR="001575CF" w:rsidRPr="00F07058" w:rsidRDefault="001575CF" w:rsidP="001575CF">
            <w:pPr>
              <w:widowControl w:val="0"/>
              <w:spacing w:line="276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3.7</w:t>
            </w:r>
          </w:p>
        </w:tc>
        <w:tc>
          <w:tcPr>
            <w:tcW w:w="567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7E201FB6" w14:textId="788F4119" w:rsidR="001575CF" w:rsidRPr="003A382E" w:rsidRDefault="008C7B5A" w:rsidP="00DA1E26">
            <w:pPr>
              <w:pStyle w:val="Heading1"/>
              <w:keepNext w:val="0"/>
              <w:widowControl w:val="0"/>
              <w:tabs>
                <w:tab w:val="left" w:pos="1843"/>
              </w:tabs>
              <w:spacing w:before="0" w:after="0" w:line="276" w:lineRule="auto"/>
              <w:jc w:val="both"/>
              <w:rPr>
                <w:rFonts w:cs="Arial"/>
                <w:b w:val="0"/>
                <w:bCs w:val="0"/>
                <w:sz w:val="18"/>
                <w:szCs w:val="18"/>
                <w:lang w:val="en-ZA"/>
              </w:rPr>
            </w:pPr>
            <w:r w:rsidRPr="003A382E">
              <w:rPr>
                <w:rFonts w:cs="Arial"/>
                <w:b w:val="0"/>
                <w:bCs w:val="0"/>
                <w:sz w:val="18"/>
                <w:szCs w:val="18"/>
                <w:lang w:val="en-ZA"/>
              </w:rPr>
              <w:t>The</w:t>
            </w:r>
            <w:r w:rsidR="001575CF" w:rsidRPr="003A382E">
              <w:rPr>
                <w:rFonts w:cs="Arial"/>
                <w:b w:val="0"/>
                <w:bCs w:val="0"/>
                <w:sz w:val="18"/>
                <w:szCs w:val="18"/>
                <w:lang w:val="en-ZA"/>
              </w:rPr>
              <w:t xml:space="preserve"> </w:t>
            </w:r>
            <w:r w:rsidR="00B37B57">
              <w:rPr>
                <w:rFonts w:cs="Arial"/>
                <w:b w:val="0"/>
                <w:bCs w:val="0"/>
                <w:sz w:val="18"/>
                <w:szCs w:val="18"/>
                <w:lang w:val="en-ZA"/>
              </w:rPr>
              <w:t>Bidder</w:t>
            </w:r>
            <w:r w:rsidR="001575CF" w:rsidRPr="003A382E">
              <w:rPr>
                <w:rFonts w:cs="Arial"/>
                <w:b w:val="0"/>
                <w:bCs w:val="0"/>
                <w:sz w:val="18"/>
                <w:szCs w:val="18"/>
                <w:lang w:val="en-ZA"/>
              </w:rPr>
              <w:t xml:space="preserve"> </w:t>
            </w:r>
            <w:r w:rsidR="00C1203F">
              <w:rPr>
                <w:rFonts w:cs="Arial"/>
                <w:b w:val="0"/>
                <w:bCs w:val="0"/>
                <w:sz w:val="18"/>
                <w:szCs w:val="18"/>
                <w:lang w:val="en-ZA"/>
              </w:rPr>
              <w:t xml:space="preserve">must </w:t>
            </w:r>
            <w:r w:rsidR="00DA1E26">
              <w:rPr>
                <w:rFonts w:cs="Arial"/>
                <w:b w:val="0"/>
                <w:bCs w:val="0"/>
                <w:sz w:val="18"/>
                <w:szCs w:val="18"/>
                <w:lang w:val="en-ZA"/>
              </w:rPr>
              <w:t>indicate</w:t>
            </w:r>
            <w:r w:rsidR="00C1203F">
              <w:rPr>
                <w:rFonts w:cs="Arial"/>
                <w:b w:val="0"/>
                <w:bCs w:val="0"/>
                <w:sz w:val="18"/>
                <w:szCs w:val="18"/>
                <w:lang w:val="en-ZA"/>
              </w:rPr>
              <w:t xml:space="preserve"> a</w:t>
            </w:r>
            <w:r w:rsidR="00C1203F" w:rsidRPr="003A382E">
              <w:rPr>
                <w:rFonts w:cs="Arial"/>
                <w:b w:val="0"/>
                <w:bCs w:val="0"/>
                <w:sz w:val="18"/>
                <w:szCs w:val="18"/>
                <w:lang w:val="en-ZA"/>
              </w:rPr>
              <w:t xml:space="preserve"> </w:t>
            </w:r>
            <w:r w:rsidR="001575CF" w:rsidRPr="003A382E">
              <w:rPr>
                <w:rFonts w:cs="Arial"/>
                <w:b w:val="0"/>
                <w:bCs w:val="0"/>
                <w:sz w:val="18"/>
                <w:szCs w:val="18"/>
                <w:lang w:val="en-ZA"/>
              </w:rPr>
              <w:t xml:space="preserve">clear </w:t>
            </w:r>
            <w:r w:rsidR="001575CF" w:rsidRPr="00AD7C35">
              <w:rPr>
                <w:rFonts w:cs="Arial"/>
                <w:b w:val="0"/>
                <w:bCs w:val="0"/>
                <w:sz w:val="18"/>
                <w:szCs w:val="18"/>
                <w:lang w:val="en-ZA"/>
              </w:rPr>
              <w:t>escalation procedure</w:t>
            </w:r>
            <w:r w:rsidR="001575CF" w:rsidRPr="003A382E">
              <w:rPr>
                <w:rFonts w:cs="Arial"/>
                <w:b w:val="0"/>
                <w:bCs w:val="0"/>
                <w:sz w:val="18"/>
                <w:szCs w:val="18"/>
                <w:lang w:val="en-ZA"/>
              </w:rPr>
              <w:t xml:space="preserve"> between SARS, its employees, its </w:t>
            </w:r>
            <w:r w:rsidR="004A41E9" w:rsidRPr="003A382E">
              <w:rPr>
                <w:rFonts w:cs="Arial"/>
                <w:b w:val="0"/>
                <w:bCs w:val="0"/>
                <w:sz w:val="18"/>
                <w:szCs w:val="18"/>
                <w:lang w:val="en-ZA"/>
              </w:rPr>
              <w:t>control room</w:t>
            </w:r>
            <w:r w:rsidR="00C1203F" w:rsidRPr="003A382E">
              <w:rPr>
                <w:rFonts w:cs="Arial"/>
                <w:b w:val="0"/>
                <w:bCs w:val="0"/>
                <w:sz w:val="18"/>
                <w:szCs w:val="18"/>
                <w:lang w:val="en-ZA"/>
              </w:rPr>
              <w:t xml:space="preserve"> </w:t>
            </w:r>
            <w:r w:rsidR="001575CF" w:rsidRPr="003A382E">
              <w:rPr>
                <w:rFonts w:cs="Arial"/>
                <w:b w:val="0"/>
                <w:bCs w:val="0"/>
                <w:sz w:val="18"/>
                <w:szCs w:val="18"/>
                <w:lang w:val="en-ZA"/>
              </w:rPr>
              <w:t xml:space="preserve">and management, including </w:t>
            </w:r>
            <w:r w:rsidR="00C1203F" w:rsidRPr="003A382E">
              <w:rPr>
                <w:rFonts w:cs="Arial"/>
                <w:b w:val="0"/>
                <w:bCs w:val="0"/>
                <w:sz w:val="18"/>
                <w:szCs w:val="18"/>
                <w:lang w:val="en-ZA"/>
              </w:rPr>
              <w:t xml:space="preserve">reporting </w:t>
            </w:r>
            <w:r w:rsidR="00C1203F">
              <w:rPr>
                <w:rFonts w:cs="Arial"/>
                <w:b w:val="0"/>
                <w:bCs w:val="0"/>
                <w:sz w:val="18"/>
                <w:szCs w:val="18"/>
                <w:lang w:val="en-ZA"/>
              </w:rPr>
              <w:t xml:space="preserve">of Security </w:t>
            </w:r>
            <w:r w:rsidR="001575CF" w:rsidRPr="003A382E">
              <w:rPr>
                <w:rFonts w:cs="Arial"/>
                <w:b w:val="0"/>
                <w:bCs w:val="0"/>
                <w:sz w:val="18"/>
                <w:szCs w:val="18"/>
                <w:lang w:val="en-ZA"/>
              </w:rPr>
              <w:t>Incidents</w:t>
            </w:r>
            <w:r w:rsidR="00C1203F">
              <w:rPr>
                <w:rFonts w:cs="Arial"/>
                <w:b w:val="0"/>
                <w:bCs w:val="0"/>
                <w:sz w:val="18"/>
                <w:szCs w:val="18"/>
                <w:lang w:val="en-ZA"/>
              </w:rPr>
              <w:t xml:space="preserve"> and Emergencies.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6D844D" w14:textId="77777777" w:rsidR="001575CF" w:rsidRPr="002C1051" w:rsidRDefault="001575CF" w:rsidP="004E5E67">
            <w:pPr>
              <w:widowControl w:val="0"/>
              <w:spacing w:line="276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2C1051">
              <w:rPr>
                <w:rFonts w:cs="Arial"/>
                <w:b/>
                <w:bCs/>
                <w:color w:val="000000"/>
                <w:sz w:val="18"/>
                <w:szCs w:val="18"/>
              </w:rPr>
              <w:t>5</w:t>
            </w:r>
          </w:p>
        </w:tc>
        <w:tc>
          <w:tcPr>
            <w:tcW w:w="2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794920" w14:textId="574BCAD9" w:rsidR="001575CF" w:rsidRPr="00F07058" w:rsidRDefault="001575CF" w:rsidP="004A41E9">
            <w:pPr>
              <w:widowControl w:val="0"/>
              <w:spacing w:line="276" w:lineRule="auto"/>
              <w:jc w:val="both"/>
              <w:rPr>
                <w:sz w:val="18"/>
                <w:szCs w:val="18"/>
              </w:rPr>
            </w:pPr>
            <w:r w:rsidRPr="00F07058">
              <w:rPr>
                <w:sz w:val="18"/>
                <w:szCs w:val="18"/>
              </w:rPr>
              <w:t xml:space="preserve">Not submitted </w:t>
            </w:r>
            <w:r w:rsidR="00C1203F">
              <w:rPr>
                <w:sz w:val="18"/>
                <w:szCs w:val="18"/>
              </w:rPr>
              <w:t xml:space="preserve">a </w:t>
            </w:r>
            <w:r w:rsidRPr="00F07058">
              <w:rPr>
                <w:sz w:val="18"/>
                <w:szCs w:val="18"/>
              </w:rPr>
              <w:t xml:space="preserve">clear escalation procedure between SARS, its employees, its </w:t>
            </w:r>
            <w:r w:rsidR="004A41E9" w:rsidRPr="00F07058">
              <w:rPr>
                <w:sz w:val="18"/>
                <w:szCs w:val="18"/>
              </w:rPr>
              <w:t>control room</w:t>
            </w:r>
            <w:r w:rsidRPr="00F07058">
              <w:rPr>
                <w:sz w:val="18"/>
                <w:szCs w:val="18"/>
              </w:rPr>
              <w:t xml:space="preserve"> and management, including </w:t>
            </w:r>
            <w:r w:rsidR="00C1203F" w:rsidRPr="00F07058">
              <w:rPr>
                <w:sz w:val="18"/>
                <w:szCs w:val="18"/>
              </w:rPr>
              <w:t xml:space="preserve">reporting </w:t>
            </w:r>
            <w:r w:rsidR="00C1203F">
              <w:rPr>
                <w:sz w:val="18"/>
                <w:szCs w:val="18"/>
              </w:rPr>
              <w:t xml:space="preserve">of Security </w:t>
            </w:r>
            <w:r w:rsidRPr="00F07058">
              <w:rPr>
                <w:sz w:val="18"/>
                <w:szCs w:val="18"/>
              </w:rPr>
              <w:t>Incidents</w:t>
            </w:r>
            <w:r w:rsidR="00C1203F">
              <w:rPr>
                <w:sz w:val="18"/>
                <w:szCs w:val="18"/>
              </w:rPr>
              <w:t xml:space="preserve"> and Emergencies.</w:t>
            </w:r>
          </w:p>
        </w:tc>
        <w:tc>
          <w:tcPr>
            <w:tcW w:w="1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F73195" w14:textId="77777777" w:rsidR="001575CF" w:rsidRPr="00F07058" w:rsidRDefault="001575CF" w:rsidP="00AD7C35">
            <w:pPr>
              <w:widowControl w:val="0"/>
              <w:spacing w:line="276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F07058">
              <w:rPr>
                <w:rFonts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189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0A35FC9F" w14:textId="6DD15A48" w:rsidR="001575CF" w:rsidRPr="00F07058" w:rsidRDefault="001575CF" w:rsidP="004A41E9">
            <w:pPr>
              <w:widowControl w:val="0"/>
              <w:spacing w:line="276" w:lineRule="auto"/>
              <w:jc w:val="both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bCs/>
                <w:color w:val="000000"/>
                <w:sz w:val="18"/>
                <w:szCs w:val="18"/>
              </w:rPr>
              <w:t>A</w:t>
            </w:r>
            <w:r>
              <w:t xml:space="preserve"> </w:t>
            </w:r>
            <w:r w:rsidRPr="008C61E6">
              <w:rPr>
                <w:rFonts w:cs="Arial"/>
                <w:bCs/>
                <w:color w:val="000000"/>
                <w:sz w:val="18"/>
                <w:szCs w:val="18"/>
              </w:rPr>
              <w:t xml:space="preserve">clear </w:t>
            </w:r>
            <w:r w:rsidRPr="00AD7C35">
              <w:rPr>
                <w:rFonts w:cs="Arial"/>
                <w:bCs/>
                <w:color w:val="000000"/>
                <w:sz w:val="18"/>
                <w:szCs w:val="18"/>
              </w:rPr>
              <w:t>escalation procedure</w:t>
            </w:r>
            <w:r w:rsidRPr="008C61E6">
              <w:rPr>
                <w:rFonts w:cs="Arial"/>
                <w:bCs/>
                <w:color w:val="000000"/>
                <w:sz w:val="18"/>
                <w:szCs w:val="18"/>
              </w:rPr>
              <w:t xml:space="preserve"> between SARS, its employees, its </w:t>
            </w:r>
            <w:r w:rsidR="004A41E9" w:rsidRPr="008C61E6">
              <w:rPr>
                <w:rFonts w:cs="Arial"/>
                <w:bCs/>
                <w:color w:val="000000"/>
                <w:sz w:val="18"/>
                <w:szCs w:val="18"/>
              </w:rPr>
              <w:t xml:space="preserve">control room </w:t>
            </w:r>
            <w:r w:rsidRPr="008C61E6">
              <w:rPr>
                <w:rFonts w:cs="Arial"/>
                <w:bCs/>
                <w:color w:val="000000"/>
                <w:sz w:val="18"/>
                <w:szCs w:val="18"/>
              </w:rPr>
              <w:t>and management, including reporting</w:t>
            </w:r>
            <w:r w:rsidR="00C1203F" w:rsidRPr="008C61E6">
              <w:rPr>
                <w:rFonts w:cs="Arial"/>
                <w:bCs/>
                <w:color w:val="000000"/>
                <w:sz w:val="18"/>
                <w:szCs w:val="18"/>
              </w:rPr>
              <w:t xml:space="preserve"> </w:t>
            </w:r>
            <w:r w:rsidR="00C1203F">
              <w:rPr>
                <w:rFonts w:cs="Arial"/>
                <w:bCs/>
                <w:color w:val="000000"/>
                <w:sz w:val="18"/>
                <w:szCs w:val="18"/>
              </w:rPr>
              <w:t xml:space="preserve">of Security </w:t>
            </w:r>
            <w:r w:rsidR="00C1203F" w:rsidRPr="008C61E6">
              <w:rPr>
                <w:rFonts w:cs="Arial"/>
                <w:bCs/>
                <w:color w:val="000000"/>
                <w:sz w:val="18"/>
                <w:szCs w:val="18"/>
              </w:rPr>
              <w:t>Incidents</w:t>
            </w:r>
            <w:r w:rsidR="00C1203F">
              <w:rPr>
                <w:rFonts w:cs="Arial"/>
                <w:bCs/>
                <w:color w:val="000000"/>
                <w:sz w:val="18"/>
                <w:szCs w:val="18"/>
              </w:rPr>
              <w:t xml:space="preserve"> and Emergencies.</w:t>
            </w:r>
          </w:p>
        </w:tc>
      </w:tr>
      <w:tr w:rsidR="001575CF" w:rsidRPr="00F07058" w14:paraId="493EEA26" w14:textId="77777777" w:rsidTr="00AD7C35">
        <w:trPr>
          <w:trHeight w:val="51"/>
        </w:trPr>
        <w:tc>
          <w:tcPr>
            <w:tcW w:w="10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94CB30" w14:textId="77777777" w:rsidR="001575CF" w:rsidRPr="00F07058" w:rsidRDefault="001575CF" w:rsidP="001575CF">
            <w:pPr>
              <w:widowControl w:val="0"/>
              <w:spacing w:line="276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67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43C6E7" w14:textId="77777777" w:rsidR="001575CF" w:rsidRPr="00F07058" w:rsidRDefault="001575CF" w:rsidP="001575CF">
            <w:pPr>
              <w:pStyle w:val="Heading1"/>
              <w:keepNext w:val="0"/>
              <w:widowControl w:val="0"/>
              <w:tabs>
                <w:tab w:val="left" w:pos="1843"/>
              </w:tabs>
              <w:spacing w:before="0" w:after="0" w:line="276" w:lineRule="auto"/>
              <w:jc w:val="both"/>
              <w:rPr>
                <w:rFonts w:cs="Arial"/>
                <w:bCs w:val="0"/>
                <w:sz w:val="18"/>
                <w:szCs w:val="18"/>
                <w:lang w:val="en-ZA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327D48" w14:textId="77777777" w:rsidR="001575CF" w:rsidRPr="002C1051" w:rsidRDefault="001575CF">
            <w:pPr>
              <w:widowControl w:val="0"/>
              <w:spacing w:line="276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FD2C9E" w14:textId="64CCBDCC" w:rsidR="001575CF" w:rsidRPr="00F07058" w:rsidRDefault="001575CF">
            <w:pPr>
              <w:widowControl w:val="0"/>
              <w:spacing w:line="276" w:lineRule="auto"/>
              <w:jc w:val="both"/>
              <w:rPr>
                <w:rFonts w:cs="Arial"/>
                <w:sz w:val="18"/>
                <w:szCs w:val="18"/>
                <w:lang w:eastAsia="x-none"/>
              </w:rPr>
            </w:pPr>
            <w:r w:rsidRPr="00F07058">
              <w:rPr>
                <w:rFonts w:cs="Arial"/>
                <w:sz w:val="18"/>
                <w:szCs w:val="18"/>
                <w:lang w:eastAsia="x-none"/>
              </w:rPr>
              <w:t>Submitted</w:t>
            </w:r>
            <w:r w:rsidRPr="00F07058">
              <w:rPr>
                <w:sz w:val="18"/>
                <w:szCs w:val="18"/>
              </w:rPr>
              <w:t xml:space="preserve"> </w:t>
            </w:r>
            <w:r w:rsidR="00C1203F">
              <w:rPr>
                <w:sz w:val="18"/>
                <w:szCs w:val="18"/>
              </w:rPr>
              <w:t xml:space="preserve">a </w:t>
            </w:r>
            <w:r w:rsidRPr="00F07058">
              <w:rPr>
                <w:rFonts w:cs="Arial"/>
                <w:sz w:val="18"/>
                <w:szCs w:val="18"/>
                <w:lang w:eastAsia="x-none"/>
              </w:rPr>
              <w:t xml:space="preserve">clear escalation procedure between SARS, its employees, its </w:t>
            </w:r>
            <w:r w:rsidR="004A41E9" w:rsidRPr="00F07058">
              <w:rPr>
                <w:rFonts w:cs="Arial"/>
                <w:sz w:val="18"/>
                <w:szCs w:val="18"/>
                <w:lang w:eastAsia="x-none"/>
              </w:rPr>
              <w:t>control room</w:t>
            </w:r>
            <w:r w:rsidRPr="00F07058">
              <w:rPr>
                <w:rFonts w:cs="Arial"/>
                <w:sz w:val="18"/>
                <w:szCs w:val="18"/>
                <w:lang w:eastAsia="x-none"/>
              </w:rPr>
              <w:t xml:space="preserve"> and management, including </w:t>
            </w:r>
            <w:r w:rsidR="00C1203F" w:rsidRPr="00F07058">
              <w:rPr>
                <w:rFonts w:cs="Arial"/>
                <w:sz w:val="18"/>
                <w:szCs w:val="18"/>
                <w:lang w:eastAsia="x-none"/>
              </w:rPr>
              <w:t xml:space="preserve">reporting </w:t>
            </w:r>
            <w:r w:rsidR="00C1203F">
              <w:rPr>
                <w:rFonts w:cs="Arial"/>
                <w:sz w:val="18"/>
                <w:szCs w:val="18"/>
                <w:lang w:eastAsia="x-none"/>
              </w:rPr>
              <w:t xml:space="preserve">of Security </w:t>
            </w:r>
            <w:r w:rsidRPr="00F07058">
              <w:rPr>
                <w:rFonts w:cs="Arial"/>
                <w:sz w:val="18"/>
                <w:szCs w:val="18"/>
                <w:lang w:eastAsia="x-none"/>
              </w:rPr>
              <w:t>Incidents</w:t>
            </w:r>
            <w:r w:rsidR="00C1203F">
              <w:rPr>
                <w:rFonts w:cs="Arial"/>
                <w:sz w:val="18"/>
                <w:szCs w:val="18"/>
                <w:lang w:eastAsia="x-none"/>
              </w:rPr>
              <w:t xml:space="preserve"> and Emergencies.</w:t>
            </w:r>
          </w:p>
        </w:tc>
        <w:tc>
          <w:tcPr>
            <w:tcW w:w="1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A56DBC" w14:textId="77777777" w:rsidR="001575CF" w:rsidRPr="00F07058" w:rsidRDefault="001575CF" w:rsidP="00AD7C35">
            <w:pPr>
              <w:widowControl w:val="0"/>
              <w:spacing w:line="276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189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6E6F91F2" w14:textId="77777777" w:rsidR="001575CF" w:rsidRDefault="001575CF" w:rsidP="008A6AE6">
            <w:pPr>
              <w:widowControl w:val="0"/>
              <w:spacing w:line="276" w:lineRule="auto"/>
              <w:jc w:val="both"/>
              <w:rPr>
                <w:rFonts w:cs="Arial"/>
                <w:color w:val="000000"/>
                <w:sz w:val="18"/>
                <w:szCs w:val="18"/>
              </w:rPr>
            </w:pPr>
          </w:p>
        </w:tc>
      </w:tr>
    </w:tbl>
    <w:p w14:paraId="0DA989C0" w14:textId="77777777" w:rsidR="00450FE0" w:rsidRPr="00F07058" w:rsidRDefault="00450FE0" w:rsidP="007E3D13">
      <w:pPr>
        <w:widowControl w:val="0"/>
        <w:spacing w:line="276" w:lineRule="auto"/>
        <w:rPr>
          <w:rFonts w:cs="Arial"/>
          <w:sz w:val="18"/>
          <w:szCs w:val="18"/>
        </w:rPr>
      </w:pPr>
    </w:p>
    <w:sectPr w:rsidR="00450FE0" w:rsidRPr="00F07058" w:rsidSect="000E5F38">
      <w:footerReference w:type="default" r:id="rId7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D6469FF" w14:textId="77777777" w:rsidR="006856B7" w:rsidRDefault="006856B7" w:rsidP="00690315">
      <w:r>
        <w:separator/>
      </w:r>
    </w:p>
  </w:endnote>
  <w:endnote w:type="continuationSeparator" w:id="0">
    <w:p w14:paraId="4C3C6871" w14:textId="77777777" w:rsidR="006856B7" w:rsidRDefault="006856B7" w:rsidP="006903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53903376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59FE8E11" w14:textId="19B9C7EF" w:rsidR="00690315" w:rsidRDefault="00690315">
            <w:pPr>
              <w:pStyle w:val="Footer"/>
              <w:jc w:val="center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8A6AE6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8A6AE6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59D192B" w14:textId="77777777" w:rsidR="00690315" w:rsidRDefault="0069031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FB7CD7E" w14:textId="77777777" w:rsidR="006856B7" w:rsidRDefault="006856B7" w:rsidP="00690315">
      <w:r>
        <w:separator/>
      </w:r>
    </w:p>
  </w:footnote>
  <w:footnote w:type="continuationSeparator" w:id="0">
    <w:p w14:paraId="0CD34636" w14:textId="77777777" w:rsidR="006856B7" w:rsidRDefault="006856B7" w:rsidP="0069031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1909EC"/>
    <w:multiLevelType w:val="hybridMultilevel"/>
    <w:tmpl w:val="01708C94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4C65D4"/>
    <w:multiLevelType w:val="hybridMultilevel"/>
    <w:tmpl w:val="CFBE45CC"/>
    <w:lvl w:ilvl="0" w:tplc="ADD8BAAC">
      <w:start w:val="2"/>
      <w:numFmt w:val="bullet"/>
      <w:lvlText w:val="-"/>
      <w:lvlJc w:val="left"/>
      <w:pPr>
        <w:ind w:left="5889" w:hanging="360"/>
      </w:pPr>
      <w:rPr>
        <w:rFonts w:ascii="Arial" w:eastAsia="Times New Roman" w:hAnsi="Arial" w:cs="Arial" w:hint="default"/>
      </w:rPr>
    </w:lvl>
    <w:lvl w:ilvl="1" w:tplc="1C090003" w:tentative="1">
      <w:start w:val="1"/>
      <w:numFmt w:val="bullet"/>
      <w:lvlText w:val="o"/>
      <w:lvlJc w:val="left"/>
      <w:pPr>
        <w:ind w:left="6609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7329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8049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8769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9489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10209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10929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11649" w:hanging="360"/>
      </w:pPr>
      <w:rPr>
        <w:rFonts w:ascii="Wingdings" w:hAnsi="Wingdings" w:hint="default"/>
      </w:rPr>
    </w:lvl>
  </w:abstractNum>
  <w:abstractNum w:abstractNumId="2" w15:restartNumberingAfterBreak="0">
    <w:nsid w:val="1184331D"/>
    <w:multiLevelType w:val="hybridMultilevel"/>
    <w:tmpl w:val="69C643DC"/>
    <w:lvl w:ilvl="0" w:tplc="1C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8C77F7"/>
    <w:multiLevelType w:val="hybridMultilevel"/>
    <w:tmpl w:val="64FC9958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F204F0"/>
    <w:multiLevelType w:val="hybridMultilevel"/>
    <w:tmpl w:val="AB22A208"/>
    <w:lvl w:ilvl="0" w:tplc="1C090009">
      <w:start w:val="1"/>
      <w:numFmt w:val="bullet"/>
      <w:lvlText w:val=""/>
      <w:lvlJc w:val="left"/>
      <w:pPr>
        <w:ind w:left="2280" w:hanging="360"/>
      </w:pPr>
      <w:rPr>
        <w:rFonts w:ascii="Wingdings" w:hAnsi="Wingdings" w:hint="default"/>
      </w:rPr>
    </w:lvl>
    <w:lvl w:ilvl="1" w:tplc="1C09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5" w15:restartNumberingAfterBreak="0">
    <w:nsid w:val="30811397"/>
    <w:multiLevelType w:val="hybridMultilevel"/>
    <w:tmpl w:val="7B84ED50"/>
    <w:lvl w:ilvl="0" w:tplc="1C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6974E7"/>
    <w:multiLevelType w:val="hybridMultilevel"/>
    <w:tmpl w:val="45FC2D72"/>
    <w:lvl w:ilvl="0" w:tplc="1C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3771286"/>
    <w:multiLevelType w:val="hybridMultilevel"/>
    <w:tmpl w:val="C8002A6A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EEB72D2"/>
    <w:multiLevelType w:val="hybridMultilevel"/>
    <w:tmpl w:val="7ABCF420"/>
    <w:lvl w:ilvl="0" w:tplc="1C090009">
      <w:start w:val="1"/>
      <w:numFmt w:val="bullet"/>
      <w:lvlText w:val=""/>
      <w:lvlJc w:val="left"/>
      <w:pPr>
        <w:ind w:left="988" w:hanging="360"/>
      </w:pPr>
      <w:rPr>
        <w:rFonts w:ascii="Wingdings" w:hAnsi="Wingdings" w:hint="default"/>
      </w:rPr>
    </w:lvl>
    <w:lvl w:ilvl="1" w:tplc="1C090003" w:tentative="1">
      <w:start w:val="1"/>
      <w:numFmt w:val="bullet"/>
      <w:lvlText w:val="o"/>
      <w:lvlJc w:val="left"/>
      <w:pPr>
        <w:ind w:left="1708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428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148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868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588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308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028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748" w:hanging="360"/>
      </w:pPr>
      <w:rPr>
        <w:rFonts w:ascii="Wingdings" w:hAnsi="Wingdings" w:hint="default"/>
      </w:rPr>
    </w:lvl>
  </w:abstractNum>
  <w:abstractNum w:abstractNumId="9" w15:restartNumberingAfterBreak="0">
    <w:nsid w:val="4EA844B0"/>
    <w:multiLevelType w:val="hybridMultilevel"/>
    <w:tmpl w:val="2A08C2D0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cs="Times New Roman" w:hint="default"/>
      </w:rPr>
    </w:lvl>
    <w:lvl w:ilvl="1" w:tplc="1C090003" w:tentative="1">
      <w:start w:val="1"/>
      <w:numFmt w:val="bullet"/>
      <w:lvlText w:val="o"/>
      <w:lvlJc w:val="left"/>
      <w:pPr>
        <w:ind w:left="1708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428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148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868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588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308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028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748" w:hanging="360"/>
      </w:pPr>
      <w:rPr>
        <w:rFonts w:ascii="Wingdings" w:hAnsi="Wingdings" w:hint="default"/>
      </w:rPr>
    </w:lvl>
  </w:abstractNum>
  <w:abstractNum w:abstractNumId="10" w15:restartNumberingAfterBreak="0">
    <w:nsid w:val="517F43A1"/>
    <w:multiLevelType w:val="hybridMultilevel"/>
    <w:tmpl w:val="55CCE37A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7F104E7"/>
    <w:multiLevelType w:val="multilevel"/>
    <w:tmpl w:val="1326DF40"/>
    <w:lvl w:ilvl="0">
      <w:start w:val="2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0" w:hanging="4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bullet"/>
      <w:lvlText w:val=""/>
      <w:lvlJc w:val="left"/>
      <w:pPr>
        <w:ind w:left="4680" w:hanging="1080"/>
      </w:pPr>
      <w:rPr>
        <w:rFonts w:ascii="Wingdings" w:hAnsi="Wingdings"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2" w15:restartNumberingAfterBreak="0">
    <w:nsid w:val="5BBA4331"/>
    <w:multiLevelType w:val="hybridMultilevel"/>
    <w:tmpl w:val="D3F63E8E"/>
    <w:lvl w:ilvl="0" w:tplc="1C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1922BBF"/>
    <w:multiLevelType w:val="hybridMultilevel"/>
    <w:tmpl w:val="B70836D4"/>
    <w:lvl w:ilvl="0" w:tplc="CC3494D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857017D"/>
    <w:multiLevelType w:val="multilevel"/>
    <w:tmpl w:val="DFA2CBE2"/>
    <w:lvl w:ilvl="0">
      <w:start w:val="18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0" w:hanging="4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5" w15:restartNumberingAfterBreak="0">
    <w:nsid w:val="7FA9419C"/>
    <w:multiLevelType w:val="hybridMultilevel"/>
    <w:tmpl w:val="79FC250C"/>
    <w:lvl w:ilvl="0" w:tplc="1C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9"/>
  </w:num>
  <w:num w:numId="3">
    <w:abstractNumId w:val="6"/>
  </w:num>
  <w:num w:numId="4">
    <w:abstractNumId w:val="14"/>
  </w:num>
  <w:num w:numId="5">
    <w:abstractNumId w:val="11"/>
  </w:num>
  <w:num w:numId="6">
    <w:abstractNumId w:val="1"/>
  </w:num>
  <w:num w:numId="7">
    <w:abstractNumId w:val="2"/>
  </w:num>
  <w:num w:numId="8">
    <w:abstractNumId w:val="15"/>
  </w:num>
  <w:num w:numId="9">
    <w:abstractNumId w:val="8"/>
  </w:num>
  <w:num w:numId="10">
    <w:abstractNumId w:val="10"/>
  </w:num>
  <w:num w:numId="11">
    <w:abstractNumId w:val="5"/>
  </w:num>
  <w:num w:numId="12">
    <w:abstractNumId w:val="3"/>
  </w:num>
  <w:num w:numId="13">
    <w:abstractNumId w:val="0"/>
  </w:num>
  <w:num w:numId="14">
    <w:abstractNumId w:val="13"/>
  </w:num>
  <w:num w:numId="15">
    <w:abstractNumId w:val="7"/>
  </w:num>
  <w:num w:numId="1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oNotDisplayPageBoundari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5F6C"/>
    <w:rsid w:val="000029A8"/>
    <w:rsid w:val="000242B0"/>
    <w:rsid w:val="000279BE"/>
    <w:rsid w:val="00037380"/>
    <w:rsid w:val="000440E5"/>
    <w:rsid w:val="00047C59"/>
    <w:rsid w:val="00054F5A"/>
    <w:rsid w:val="000633E4"/>
    <w:rsid w:val="00074F7E"/>
    <w:rsid w:val="000838FD"/>
    <w:rsid w:val="000952C5"/>
    <w:rsid w:val="000A287F"/>
    <w:rsid w:val="000A28AE"/>
    <w:rsid w:val="000B6E27"/>
    <w:rsid w:val="000D7739"/>
    <w:rsid w:val="000E5F38"/>
    <w:rsid w:val="000F4C64"/>
    <w:rsid w:val="00104C7C"/>
    <w:rsid w:val="00106C17"/>
    <w:rsid w:val="00110720"/>
    <w:rsid w:val="00120BD2"/>
    <w:rsid w:val="00123130"/>
    <w:rsid w:val="001324DC"/>
    <w:rsid w:val="001339A1"/>
    <w:rsid w:val="001426BD"/>
    <w:rsid w:val="001539C8"/>
    <w:rsid w:val="001575CF"/>
    <w:rsid w:val="00157724"/>
    <w:rsid w:val="001600B8"/>
    <w:rsid w:val="00181C31"/>
    <w:rsid w:val="00187474"/>
    <w:rsid w:val="00196337"/>
    <w:rsid w:val="001C498C"/>
    <w:rsid w:val="001D6709"/>
    <w:rsid w:val="001D7712"/>
    <w:rsid w:val="001E4747"/>
    <w:rsid w:val="00205B3B"/>
    <w:rsid w:val="002131B5"/>
    <w:rsid w:val="002418B3"/>
    <w:rsid w:val="00247765"/>
    <w:rsid w:val="0026217B"/>
    <w:rsid w:val="00262D8D"/>
    <w:rsid w:val="00270456"/>
    <w:rsid w:val="00276D7B"/>
    <w:rsid w:val="00283187"/>
    <w:rsid w:val="00284D9E"/>
    <w:rsid w:val="00295DEF"/>
    <w:rsid w:val="002A046A"/>
    <w:rsid w:val="002A1808"/>
    <w:rsid w:val="002C1051"/>
    <w:rsid w:val="002D098A"/>
    <w:rsid w:val="002D31DB"/>
    <w:rsid w:val="002E0FB3"/>
    <w:rsid w:val="002E1066"/>
    <w:rsid w:val="002E1FD6"/>
    <w:rsid w:val="002E1FE5"/>
    <w:rsid w:val="002E2114"/>
    <w:rsid w:val="003148C0"/>
    <w:rsid w:val="0032388D"/>
    <w:rsid w:val="00325E52"/>
    <w:rsid w:val="00332FA1"/>
    <w:rsid w:val="00334854"/>
    <w:rsid w:val="00340B9E"/>
    <w:rsid w:val="003456B6"/>
    <w:rsid w:val="0036043C"/>
    <w:rsid w:val="00370743"/>
    <w:rsid w:val="003812C5"/>
    <w:rsid w:val="00385F1B"/>
    <w:rsid w:val="003A382E"/>
    <w:rsid w:val="003B230F"/>
    <w:rsid w:val="003E4C05"/>
    <w:rsid w:val="003E5086"/>
    <w:rsid w:val="003F13CA"/>
    <w:rsid w:val="0040165F"/>
    <w:rsid w:val="0040314B"/>
    <w:rsid w:val="004069D6"/>
    <w:rsid w:val="00437BF8"/>
    <w:rsid w:val="00440237"/>
    <w:rsid w:val="00444DED"/>
    <w:rsid w:val="00450FE0"/>
    <w:rsid w:val="00453246"/>
    <w:rsid w:val="0045599E"/>
    <w:rsid w:val="004568D2"/>
    <w:rsid w:val="0045764D"/>
    <w:rsid w:val="0047291A"/>
    <w:rsid w:val="0048694B"/>
    <w:rsid w:val="0049471B"/>
    <w:rsid w:val="00494FFE"/>
    <w:rsid w:val="004A41E9"/>
    <w:rsid w:val="004A55DC"/>
    <w:rsid w:val="004D7589"/>
    <w:rsid w:val="004E2962"/>
    <w:rsid w:val="004E5E67"/>
    <w:rsid w:val="00501EF5"/>
    <w:rsid w:val="005036F7"/>
    <w:rsid w:val="0050737B"/>
    <w:rsid w:val="00520507"/>
    <w:rsid w:val="005256BE"/>
    <w:rsid w:val="005338A0"/>
    <w:rsid w:val="0053570D"/>
    <w:rsid w:val="00540A51"/>
    <w:rsid w:val="005501E1"/>
    <w:rsid w:val="00554BB7"/>
    <w:rsid w:val="00576F78"/>
    <w:rsid w:val="00583DF6"/>
    <w:rsid w:val="0058485A"/>
    <w:rsid w:val="0058710C"/>
    <w:rsid w:val="00591862"/>
    <w:rsid w:val="00592A12"/>
    <w:rsid w:val="005D1E98"/>
    <w:rsid w:val="005D3F75"/>
    <w:rsid w:val="005D6836"/>
    <w:rsid w:val="005E0BF9"/>
    <w:rsid w:val="005E33C3"/>
    <w:rsid w:val="005E34F8"/>
    <w:rsid w:val="005F739E"/>
    <w:rsid w:val="00611CF6"/>
    <w:rsid w:val="00616903"/>
    <w:rsid w:val="006223CE"/>
    <w:rsid w:val="006251D3"/>
    <w:rsid w:val="0062686E"/>
    <w:rsid w:val="00627CB2"/>
    <w:rsid w:val="0063270C"/>
    <w:rsid w:val="00635771"/>
    <w:rsid w:val="00656E26"/>
    <w:rsid w:val="006734DA"/>
    <w:rsid w:val="006856B7"/>
    <w:rsid w:val="00690315"/>
    <w:rsid w:val="00691012"/>
    <w:rsid w:val="006B5710"/>
    <w:rsid w:val="006C475A"/>
    <w:rsid w:val="006D619A"/>
    <w:rsid w:val="006F33FA"/>
    <w:rsid w:val="00715A2A"/>
    <w:rsid w:val="00715E48"/>
    <w:rsid w:val="00733BD7"/>
    <w:rsid w:val="007424DD"/>
    <w:rsid w:val="00753846"/>
    <w:rsid w:val="0076716F"/>
    <w:rsid w:val="007725DE"/>
    <w:rsid w:val="00793285"/>
    <w:rsid w:val="007A6D5F"/>
    <w:rsid w:val="007B103C"/>
    <w:rsid w:val="007B2EB0"/>
    <w:rsid w:val="007C71C1"/>
    <w:rsid w:val="007D2DBD"/>
    <w:rsid w:val="007D38C3"/>
    <w:rsid w:val="007E3D13"/>
    <w:rsid w:val="007E6DBC"/>
    <w:rsid w:val="00802449"/>
    <w:rsid w:val="008054B3"/>
    <w:rsid w:val="0081246B"/>
    <w:rsid w:val="00815525"/>
    <w:rsid w:val="008208E3"/>
    <w:rsid w:val="00825215"/>
    <w:rsid w:val="00831354"/>
    <w:rsid w:val="00844A73"/>
    <w:rsid w:val="008A5841"/>
    <w:rsid w:val="008A6AE6"/>
    <w:rsid w:val="008C7478"/>
    <w:rsid w:val="008C7B5A"/>
    <w:rsid w:val="008D2986"/>
    <w:rsid w:val="008D2F14"/>
    <w:rsid w:val="008D593A"/>
    <w:rsid w:val="008D70EA"/>
    <w:rsid w:val="008E1E57"/>
    <w:rsid w:val="008F0BCD"/>
    <w:rsid w:val="00902293"/>
    <w:rsid w:val="00904EE0"/>
    <w:rsid w:val="00922E78"/>
    <w:rsid w:val="00950737"/>
    <w:rsid w:val="00973C7A"/>
    <w:rsid w:val="00982364"/>
    <w:rsid w:val="00982A83"/>
    <w:rsid w:val="00982FDC"/>
    <w:rsid w:val="00984755"/>
    <w:rsid w:val="009C0109"/>
    <w:rsid w:val="009D0DF2"/>
    <w:rsid w:val="009E3800"/>
    <w:rsid w:val="009E42E2"/>
    <w:rsid w:val="009F0BEA"/>
    <w:rsid w:val="00A02DF6"/>
    <w:rsid w:val="00A032AD"/>
    <w:rsid w:val="00A508F8"/>
    <w:rsid w:val="00A51D0C"/>
    <w:rsid w:val="00A54EFD"/>
    <w:rsid w:val="00A63D5D"/>
    <w:rsid w:val="00A676EA"/>
    <w:rsid w:val="00A71ECE"/>
    <w:rsid w:val="00A777F8"/>
    <w:rsid w:val="00A80234"/>
    <w:rsid w:val="00A87C59"/>
    <w:rsid w:val="00A93A16"/>
    <w:rsid w:val="00A95649"/>
    <w:rsid w:val="00A970B2"/>
    <w:rsid w:val="00AA7BA8"/>
    <w:rsid w:val="00AD6814"/>
    <w:rsid w:val="00AD7C35"/>
    <w:rsid w:val="00AE5C91"/>
    <w:rsid w:val="00B31E1B"/>
    <w:rsid w:val="00B3719C"/>
    <w:rsid w:val="00B37B57"/>
    <w:rsid w:val="00B52E64"/>
    <w:rsid w:val="00B531C1"/>
    <w:rsid w:val="00B562C9"/>
    <w:rsid w:val="00B63743"/>
    <w:rsid w:val="00B64A20"/>
    <w:rsid w:val="00B811D1"/>
    <w:rsid w:val="00B960FC"/>
    <w:rsid w:val="00B970C9"/>
    <w:rsid w:val="00BA1B6A"/>
    <w:rsid w:val="00BB62DD"/>
    <w:rsid w:val="00BD09E9"/>
    <w:rsid w:val="00BD45EA"/>
    <w:rsid w:val="00BE11AA"/>
    <w:rsid w:val="00BE2BD1"/>
    <w:rsid w:val="00BE467E"/>
    <w:rsid w:val="00BF01D4"/>
    <w:rsid w:val="00BF1AC9"/>
    <w:rsid w:val="00C015B7"/>
    <w:rsid w:val="00C1203F"/>
    <w:rsid w:val="00C13A2C"/>
    <w:rsid w:val="00C23D9C"/>
    <w:rsid w:val="00C449BC"/>
    <w:rsid w:val="00C53BF2"/>
    <w:rsid w:val="00C60E93"/>
    <w:rsid w:val="00C709BE"/>
    <w:rsid w:val="00C7361E"/>
    <w:rsid w:val="00C8200A"/>
    <w:rsid w:val="00C83382"/>
    <w:rsid w:val="00C83997"/>
    <w:rsid w:val="00C840CA"/>
    <w:rsid w:val="00C87B6C"/>
    <w:rsid w:val="00C91F34"/>
    <w:rsid w:val="00CA2AEE"/>
    <w:rsid w:val="00CD709F"/>
    <w:rsid w:val="00CE222D"/>
    <w:rsid w:val="00CE50D4"/>
    <w:rsid w:val="00CF0345"/>
    <w:rsid w:val="00D00D25"/>
    <w:rsid w:val="00D0132C"/>
    <w:rsid w:val="00D123FC"/>
    <w:rsid w:val="00D2705A"/>
    <w:rsid w:val="00D31AD0"/>
    <w:rsid w:val="00D32BAD"/>
    <w:rsid w:val="00D33323"/>
    <w:rsid w:val="00D4642E"/>
    <w:rsid w:val="00D525E6"/>
    <w:rsid w:val="00D614EF"/>
    <w:rsid w:val="00DA1E26"/>
    <w:rsid w:val="00DA2C5C"/>
    <w:rsid w:val="00DA497E"/>
    <w:rsid w:val="00DA5F6C"/>
    <w:rsid w:val="00DB2A42"/>
    <w:rsid w:val="00DC183D"/>
    <w:rsid w:val="00DC5C2D"/>
    <w:rsid w:val="00E011FD"/>
    <w:rsid w:val="00E12746"/>
    <w:rsid w:val="00E12829"/>
    <w:rsid w:val="00E1702F"/>
    <w:rsid w:val="00E20A16"/>
    <w:rsid w:val="00E37EDD"/>
    <w:rsid w:val="00E408F3"/>
    <w:rsid w:val="00E42190"/>
    <w:rsid w:val="00E51429"/>
    <w:rsid w:val="00E526C2"/>
    <w:rsid w:val="00E549C9"/>
    <w:rsid w:val="00E564AB"/>
    <w:rsid w:val="00E62A49"/>
    <w:rsid w:val="00E72793"/>
    <w:rsid w:val="00E76E0E"/>
    <w:rsid w:val="00E803FC"/>
    <w:rsid w:val="00E83F4D"/>
    <w:rsid w:val="00EC17C2"/>
    <w:rsid w:val="00EC5CCF"/>
    <w:rsid w:val="00EC6477"/>
    <w:rsid w:val="00ED00AC"/>
    <w:rsid w:val="00ED45B9"/>
    <w:rsid w:val="00EE40D9"/>
    <w:rsid w:val="00EF3E65"/>
    <w:rsid w:val="00EF765F"/>
    <w:rsid w:val="00EF7F28"/>
    <w:rsid w:val="00F052C4"/>
    <w:rsid w:val="00F07058"/>
    <w:rsid w:val="00F14F1D"/>
    <w:rsid w:val="00F16F3C"/>
    <w:rsid w:val="00F32928"/>
    <w:rsid w:val="00F33A69"/>
    <w:rsid w:val="00F401E3"/>
    <w:rsid w:val="00F54F66"/>
    <w:rsid w:val="00F7007B"/>
    <w:rsid w:val="00F800C8"/>
    <w:rsid w:val="00F82801"/>
    <w:rsid w:val="00F90D25"/>
    <w:rsid w:val="00F931C2"/>
    <w:rsid w:val="00F94257"/>
    <w:rsid w:val="00FB6457"/>
    <w:rsid w:val="00FC1E1F"/>
    <w:rsid w:val="00FC5A36"/>
    <w:rsid w:val="00FC7DFF"/>
    <w:rsid w:val="00FE7EDE"/>
    <w:rsid w:val="00FF10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4F1AC0"/>
  <w15:docId w15:val="{3311E1B3-4042-4DD7-9682-4C2549B9D8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06C17"/>
    <w:pPr>
      <w:spacing w:after="0" w:line="240" w:lineRule="auto"/>
    </w:pPr>
    <w:rPr>
      <w:rFonts w:ascii="Arial" w:eastAsia="Times New Roman" w:hAnsi="Arial" w:cs="Times New Roman"/>
      <w:lang w:eastAsia="en-ZA"/>
    </w:rPr>
  </w:style>
  <w:style w:type="paragraph" w:styleId="Heading1">
    <w:name w:val="heading 1"/>
    <w:aliases w:val="H1,rp_Heading 1,Bold 18,VS1,2,Heading,Head1,Heading apps,1,SCE,Part,h1"/>
    <w:basedOn w:val="Normal"/>
    <w:next w:val="Normal"/>
    <w:link w:val="Heading1Char"/>
    <w:uiPriority w:val="9"/>
    <w:qFormat/>
    <w:rsid w:val="00450FE0"/>
    <w:pPr>
      <w:keepNext/>
      <w:spacing w:before="240" w:after="60"/>
      <w:outlineLvl w:val="0"/>
    </w:pPr>
    <w:rPr>
      <w:b/>
      <w:bCs/>
      <w:kern w:val="32"/>
      <w:sz w:val="32"/>
      <w:szCs w:val="32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A63D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63D5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63D5D"/>
    <w:rPr>
      <w:rFonts w:ascii="Arial" w:eastAsia="Times New Roman" w:hAnsi="Arial" w:cs="Times New Roman"/>
      <w:sz w:val="20"/>
      <w:szCs w:val="20"/>
      <w:lang w:eastAsia="en-Z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63D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63D5D"/>
    <w:rPr>
      <w:rFonts w:ascii="Arial" w:eastAsia="Times New Roman" w:hAnsi="Arial" w:cs="Times New Roman"/>
      <w:b/>
      <w:bCs/>
      <w:sz w:val="20"/>
      <w:szCs w:val="20"/>
      <w:lang w:eastAsia="en-Z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63D5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3D5D"/>
    <w:rPr>
      <w:rFonts w:ascii="Tahoma" w:eastAsia="Times New Roman" w:hAnsi="Tahoma" w:cs="Tahoma"/>
      <w:sz w:val="16"/>
      <w:szCs w:val="16"/>
      <w:lang w:eastAsia="en-ZA"/>
    </w:rPr>
  </w:style>
  <w:style w:type="paragraph" w:styleId="ListParagraph">
    <w:name w:val="List Paragraph"/>
    <w:basedOn w:val="Normal"/>
    <w:uiPriority w:val="34"/>
    <w:qFormat/>
    <w:rsid w:val="00450FE0"/>
    <w:pPr>
      <w:ind w:left="720"/>
      <w:contextualSpacing/>
    </w:pPr>
  </w:style>
  <w:style w:type="character" w:customStyle="1" w:styleId="Heading1Char">
    <w:name w:val="Heading 1 Char"/>
    <w:aliases w:val="H1 Char,rp_Heading 1 Char,Bold 18 Char,VS1 Char,2 Char,Heading Char,Head1 Char,Heading apps Char,1 Char,SCE Char,Part Char,h1 Char"/>
    <w:basedOn w:val="DefaultParagraphFont"/>
    <w:link w:val="Heading1"/>
    <w:uiPriority w:val="9"/>
    <w:rsid w:val="00450FE0"/>
    <w:rPr>
      <w:rFonts w:ascii="Arial" w:eastAsia="Times New Roman" w:hAnsi="Arial" w:cs="Times New Roman"/>
      <w:b/>
      <w:bCs/>
      <w:kern w:val="32"/>
      <w:sz w:val="32"/>
      <w:szCs w:val="32"/>
      <w:lang w:val="x-none" w:eastAsia="x-none"/>
    </w:rPr>
  </w:style>
  <w:style w:type="paragraph" w:styleId="Revision">
    <w:name w:val="Revision"/>
    <w:hidden/>
    <w:uiPriority w:val="99"/>
    <w:semiHidden/>
    <w:rsid w:val="007E3D13"/>
    <w:pPr>
      <w:spacing w:after="0" w:line="240" w:lineRule="auto"/>
    </w:pPr>
    <w:rPr>
      <w:rFonts w:ascii="Arial" w:eastAsia="Times New Roman" w:hAnsi="Arial" w:cs="Times New Roman"/>
      <w:lang w:eastAsia="en-ZA"/>
    </w:rPr>
  </w:style>
  <w:style w:type="paragraph" w:styleId="Header">
    <w:name w:val="header"/>
    <w:basedOn w:val="Normal"/>
    <w:link w:val="HeaderChar"/>
    <w:uiPriority w:val="99"/>
    <w:unhideWhenUsed/>
    <w:rsid w:val="0069031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90315"/>
    <w:rPr>
      <w:rFonts w:ascii="Arial" w:eastAsia="Times New Roman" w:hAnsi="Arial" w:cs="Times New Roman"/>
      <w:lang w:eastAsia="en-ZA"/>
    </w:rPr>
  </w:style>
  <w:style w:type="paragraph" w:styleId="Footer">
    <w:name w:val="footer"/>
    <w:basedOn w:val="Normal"/>
    <w:link w:val="FooterChar"/>
    <w:uiPriority w:val="99"/>
    <w:unhideWhenUsed/>
    <w:rsid w:val="0069031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90315"/>
    <w:rPr>
      <w:rFonts w:ascii="Arial" w:eastAsia="Times New Roman" w:hAnsi="Arial" w:cs="Times New Roman"/>
      <w:lang w:eastAsia="en-Z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946</Words>
  <Characters>5394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SARS</Company>
  <LinksUpToDate>false</LinksUpToDate>
  <CharactersWithSpaces>6328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Lalashé Lundall</dc:creator>
  <cp:lastModifiedBy>Lalashé Lundall</cp:lastModifiedBy>
  <cp:revision>2</cp:revision>
  <cp:lastPrinted>2020-02-04T15:35:00Z</cp:lastPrinted>
  <dcterms:created xsi:type="dcterms:W3CDTF">2020-03-03T09:41:00Z</dcterms:created>
  <dcterms:modified xsi:type="dcterms:W3CDTF">2020-03-03T09:41:00Z</dcterms:modified>
</cp:coreProperties>
</file>